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3B" w:rsidRDefault="00C15479" w:rsidP="00F872C7">
      <w:pPr>
        <w:pStyle w:val="1"/>
        <w:jc w:val="center"/>
      </w:pPr>
      <w:r>
        <w:t xml:space="preserve">Дистанционный мониторинг устойчивости российских банков в период </w:t>
      </w:r>
      <w:r w:rsidR="005777B8">
        <w:t xml:space="preserve">реформирования </w:t>
      </w:r>
      <w:r w:rsidR="00457C6D">
        <w:t>банковской системы</w:t>
      </w:r>
    </w:p>
    <w:p w:rsidR="00C15479" w:rsidRDefault="00C15479">
      <w:r>
        <w:t>Язык: русский</w:t>
      </w:r>
    </w:p>
    <w:p w:rsidR="00AC3D91" w:rsidRDefault="00AC3D91" w:rsidP="005B7691">
      <w:r>
        <w:t xml:space="preserve">Трехлетний период с 2013 по 2015 год можно охарактеризовать как </w:t>
      </w:r>
      <w:r w:rsidR="00F872C7" w:rsidRPr="00F872C7">
        <w:t xml:space="preserve">период реформирования </w:t>
      </w:r>
      <w:r w:rsidR="00F872C7">
        <w:t xml:space="preserve">российской </w:t>
      </w:r>
      <w:r w:rsidR="00F872C7" w:rsidRPr="00F872C7">
        <w:t>банковской системы</w:t>
      </w:r>
      <w:r>
        <w:t xml:space="preserve">. Усиление </w:t>
      </w:r>
      <w:r w:rsidR="00F006EE">
        <w:t xml:space="preserve">строгости </w:t>
      </w:r>
      <w:r>
        <w:t>контроля Центрального Банка за деятельностью участников рынка</w:t>
      </w:r>
      <w:r w:rsidR="00F006EE">
        <w:t xml:space="preserve">, в частности, за соблюдением нормативов </w:t>
      </w:r>
      <w:r w:rsidR="003D6193">
        <w:t xml:space="preserve">величины </w:t>
      </w:r>
      <w:r w:rsidR="00F006EE">
        <w:t>капитала, ликвидности и т.д.,</w:t>
      </w:r>
      <w:r>
        <w:t xml:space="preserve"> сопровождалось введением ряда существенных инноваций, повлиявших на «правила игры» в сегменте финансовых услуг. К ним можно отнести введение ключевой ставки</w:t>
      </w:r>
      <w:r w:rsidR="00F006EE">
        <w:t xml:space="preserve"> в сентябре 2013 года</w:t>
      </w:r>
      <w:r>
        <w:t xml:space="preserve"> и интенсивное управление ее </w:t>
      </w:r>
      <w:r w:rsidR="00F006EE">
        <w:t xml:space="preserve">величиной, а также двукратное увеличение </w:t>
      </w:r>
      <w:r w:rsidR="00D7140C">
        <w:t>страхового возмещения в</w:t>
      </w:r>
      <w:r w:rsidR="001129BC">
        <w:t xml:space="preserve"> Системе страхования вкладов и ее распространение на счета индивидуальных предпринимателей</w:t>
      </w:r>
      <w:r w:rsidR="00A96EE3">
        <w:t xml:space="preserve"> 19 декабря 2014 года</w:t>
      </w:r>
      <w:r w:rsidR="001129BC">
        <w:t>.</w:t>
      </w:r>
    </w:p>
    <w:p w:rsidR="00AC3D91" w:rsidRDefault="00B02C82" w:rsidP="005B7691">
      <w:r>
        <w:t xml:space="preserve">Данное исследование посвящено анализу динамики устойчивости российских банков в </w:t>
      </w:r>
      <w:r w:rsidR="00F006EE">
        <w:t xml:space="preserve">указанный выше </w:t>
      </w:r>
      <w:r>
        <w:t xml:space="preserve">период, где под устойчивостью </w:t>
      </w:r>
      <w:r w:rsidR="00AC3D91">
        <w:t>понимается: «</w:t>
      </w:r>
      <w:r w:rsidR="00D83E3B" w:rsidRPr="00D83E3B">
        <w:t>финансовое состояние предприятия, хозяйственная деятельность которого обеспечивает в нормальных условиях выполнение всех его обязательств перед работниками, другими организациями, государством благодаря достаточным доходам и соответствию доходов и расходов</w:t>
      </w:r>
      <w:r w:rsidR="00D83E3B">
        <w:t>» (</w:t>
      </w:r>
      <w:r w:rsidR="00D83E3B" w:rsidRPr="00D83E3B">
        <w:t xml:space="preserve">Райзберг Б.А., Лозовский Л.Ш., Стародубцева </w:t>
      </w:r>
      <w:r w:rsidR="00F006EE" w:rsidRPr="00D83E3B">
        <w:t>Е.Б.</w:t>
      </w:r>
      <w:r w:rsidR="00D83E3B">
        <w:t xml:space="preserve"> (1999)</w:t>
      </w:r>
      <w:r w:rsidR="00D83E3B" w:rsidRPr="00D83E3B">
        <w:t xml:space="preserve"> Современный экономический словарь. М.: ИНФРА-М.</w:t>
      </w:r>
      <w:r w:rsidR="00D83E3B">
        <w:t>)</w:t>
      </w:r>
      <w:r w:rsidR="00AC3D91">
        <w:t>.</w:t>
      </w:r>
      <w:r>
        <w:t xml:space="preserve">  </w:t>
      </w:r>
      <w:r w:rsidR="005B7691">
        <w:t>В литературе, связанной с банковским бизнесом, чаще используется аналогичное понятие «надежность»</w:t>
      </w:r>
      <w:r w:rsidR="00AC3D91">
        <w:t xml:space="preserve">. </w:t>
      </w:r>
    </w:p>
    <w:p w:rsidR="001129BC" w:rsidRDefault="00AC3D91" w:rsidP="005B7691">
      <w:r>
        <w:t>На устойчивость (надежность) банка влияет множество факторов, в частности организационных, многие из которых могут быть проанализированы только в рамках процедуры аудита организации</w:t>
      </w:r>
      <w:r w:rsidR="005B7691">
        <w:t xml:space="preserve"> (Тавасиев А.М., Бычков В.П., Москвин В.А. (2005) Банковское дело: базовые операции для клиентов, М.: Финансы и статистика)</w:t>
      </w:r>
      <w:r>
        <w:t xml:space="preserve">. Однако, некоторые из </w:t>
      </w:r>
      <w:r w:rsidR="00AA4CBB">
        <w:t>значимых для анализа устойчивости (надежности) банков факторов</w:t>
      </w:r>
      <w:r>
        <w:t xml:space="preserve"> доступны внешним заинтересованным лицам и организациям за счет раскрытия большинством банков своей </w:t>
      </w:r>
      <w:r w:rsidR="00C458C9">
        <w:t xml:space="preserve">ежемесячной </w:t>
      </w:r>
      <w:bookmarkStart w:id="0" w:name="_GoBack"/>
      <w:bookmarkEnd w:id="0"/>
      <w:r>
        <w:t xml:space="preserve">финансовой отчетности, которая размещается и регулярно обновляется на сайте ЦБ РФ. </w:t>
      </w:r>
    </w:p>
    <w:p w:rsidR="00D7140C" w:rsidRDefault="00AA4CBB" w:rsidP="005B7691">
      <w:r>
        <w:t xml:space="preserve">Данное исследование включает в себя две компоненты. Во-первых, качественный (графический) анализ динамики указанных выше факторов, таких как нормативы ЦБ РФ, структура активов и пассивов, величина чистых и работающих активов и т.д. в период с 2013 по 2015 год. Во-вторых, построение </w:t>
      </w:r>
      <w:r w:rsidR="00D7140C">
        <w:t xml:space="preserve">нескольких </w:t>
      </w:r>
      <w:r>
        <w:t>моделей вероятности отзыва лицензии ЦБ РФ, как результата</w:t>
      </w:r>
      <w:r w:rsidR="00D7140C">
        <w:t xml:space="preserve"> его </w:t>
      </w:r>
      <w:proofErr w:type="spellStart"/>
      <w:r w:rsidR="00D7140C">
        <w:t>проактивной</w:t>
      </w:r>
      <w:proofErr w:type="spellEnd"/>
      <w:r w:rsidR="00D7140C">
        <w:t xml:space="preserve"> деятельности по поддержке устойчивости (надежности) банковской системы в целом. Целью построения данных м</w:t>
      </w:r>
      <w:r w:rsidR="00AC32CC">
        <w:t>оделей является анализ наличия и вида (функциональной формы)</w:t>
      </w:r>
      <w:r w:rsidR="00D7140C">
        <w:t xml:space="preserve"> </w:t>
      </w:r>
      <w:r w:rsidR="00AC32CC">
        <w:t xml:space="preserve">статистической взаимосвязи </w:t>
      </w:r>
      <w:r w:rsidR="00D7140C">
        <w:t>указанн</w:t>
      </w:r>
      <w:r w:rsidR="00AC32CC">
        <w:t>ой</w:t>
      </w:r>
      <w:r w:rsidR="00D7140C">
        <w:t xml:space="preserve"> вероятност</w:t>
      </w:r>
      <w:r w:rsidR="00AC32CC">
        <w:t>и</w:t>
      </w:r>
      <w:r w:rsidR="00D7140C">
        <w:t xml:space="preserve"> </w:t>
      </w:r>
      <w:r w:rsidR="00AC32CC">
        <w:t xml:space="preserve">и </w:t>
      </w:r>
      <w:r w:rsidR="00D7140C">
        <w:t>различных факторов (показателей), традиционно учитываемых при оценке устойчивости (надежности) банка.</w:t>
      </w:r>
      <w:r w:rsidR="00F47691">
        <w:t xml:space="preserve"> В работе используются модели бинарного выбора для панельных данных и обобщенные полиномы (</w:t>
      </w:r>
      <w:r w:rsidR="00F47691" w:rsidRPr="00F47691">
        <w:t>Fractional Polynomials</w:t>
      </w:r>
      <w:r w:rsidR="00F47691">
        <w:t>) для формирования функции индекса.</w:t>
      </w:r>
    </w:p>
    <w:p w:rsidR="00B02C82" w:rsidRPr="005B7691" w:rsidRDefault="00D7140C" w:rsidP="005B7691">
      <w:r>
        <w:t>С точки зрения авторов, результаты данного исследования могут быть полезны для организаций</w:t>
      </w:r>
      <w:r w:rsidR="009B5D56">
        <w:t xml:space="preserve"> из реального сектора экономики</w:t>
      </w:r>
      <w:r>
        <w:t xml:space="preserve">, заинтересованных во внешней диагностике </w:t>
      </w:r>
      <w:r>
        <w:lastRenderedPageBreak/>
        <w:t>банков, например, в рамках процедуры выбора партнеров или контрагентов для своего бизнеса</w:t>
      </w:r>
      <w:r w:rsidR="009B5D56">
        <w:t xml:space="preserve"> в сегменте финансовых услуг</w:t>
      </w:r>
      <w:r>
        <w:t xml:space="preserve">, а также их текущего </w:t>
      </w:r>
      <w:proofErr w:type="spellStart"/>
      <w:r>
        <w:t>рейтингования</w:t>
      </w:r>
      <w:proofErr w:type="spellEnd"/>
      <w:r>
        <w:t xml:space="preserve">.   </w:t>
      </w:r>
    </w:p>
    <w:p w:rsidR="00C15479" w:rsidRDefault="00C15479"/>
    <w:sectPr w:rsidR="00C1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79"/>
    <w:rsid w:val="000746B1"/>
    <w:rsid w:val="000951D0"/>
    <w:rsid w:val="000C6E63"/>
    <w:rsid w:val="000E35D1"/>
    <w:rsid w:val="001129BC"/>
    <w:rsid w:val="001E32CA"/>
    <w:rsid w:val="0025604E"/>
    <w:rsid w:val="002A7091"/>
    <w:rsid w:val="003D6193"/>
    <w:rsid w:val="003F0F6B"/>
    <w:rsid w:val="00457C6D"/>
    <w:rsid w:val="00507624"/>
    <w:rsid w:val="0057043B"/>
    <w:rsid w:val="005777B8"/>
    <w:rsid w:val="005B7691"/>
    <w:rsid w:val="006D43F5"/>
    <w:rsid w:val="00834FBA"/>
    <w:rsid w:val="00863124"/>
    <w:rsid w:val="008F5260"/>
    <w:rsid w:val="009B5D56"/>
    <w:rsid w:val="00A155A0"/>
    <w:rsid w:val="00A96EE3"/>
    <w:rsid w:val="00AA4CBB"/>
    <w:rsid w:val="00AC32CC"/>
    <w:rsid w:val="00AC3D91"/>
    <w:rsid w:val="00B02C82"/>
    <w:rsid w:val="00BE58E7"/>
    <w:rsid w:val="00C15479"/>
    <w:rsid w:val="00C458C9"/>
    <w:rsid w:val="00C703FC"/>
    <w:rsid w:val="00D265EB"/>
    <w:rsid w:val="00D7140C"/>
    <w:rsid w:val="00D83E3B"/>
    <w:rsid w:val="00DA4F6A"/>
    <w:rsid w:val="00E0484C"/>
    <w:rsid w:val="00E912E4"/>
    <w:rsid w:val="00F006EE"/>
    <w:rsid w:val="00F47691"/>
    <w:rsid w:val="00F872C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2587-66E3-4A72-8A5C-59FEC0C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FC"/>
    <w:pPr>
      <w:spacing w:after="0" w:line="276" w:lineRule="auto"/>
      <w:ind w:firstLine="709"/>
    </w:pPr>
    <w:rPr>
      <w:rFonts w:ascii="Calibri Light" w:hAnsi="Calibri Light"/>
      <w:sz w:val="24"/>
    </w:rPr>
  </w:style>
  <w:style w:type="paragraph" w:styleId="1">
    <w:name w:val="heading 1"/>
    <w:basedOn w:val="a"/>
    <w:next w:val="a"/>
    <w:link w:val="10"/>
    <w:uiPriority w:val="9"/>
    <w:qFormat/>
    <w:rsid w:val="00F872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Поляков</dc:creator>
  <cp:keywords/>
  <dc:description/>
  <cp:lastModifiedBy>Константин Поляков</cp:lastModifiedBy>
  <cp:revision>16</cp:revision>
  <dcterms:created xsi:type="dcterms:W3CDTF">2017-03-08T09:26:00Z</dcterms:created>
  <dcterms:modified xsi:type="dcterms:W3CDTF">2017-03-09T08:20:00Z</dcterms:modified>
</cp:coreProperties>
</file>