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7E" w:rsidRPr="000F137E" w:rsidRDefault="000F137E" w:rsidP="000F137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F137E">
        <w:rPr>
          <w:rFonts w:ascii="Arial" w:hAnsi="Arial" w:cs="Arial"/>
          <w:b/>
          <w:sz w:val="24"/>
          <w:szCs w:val="24"/>
          <w:u w:val="single"/>
          <w:lang w:val="en-US"/>
        </w:rPr>
        <w:t>Call</w:t>
      </w:r>
      <w:r w:rsidRPr="000F1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F137E">
        <w:rPr>
          <w:rFonts w:ascii="Arial" w:hAnsi="Arial" w:cs="Arial"/>
          <w:b/>
          <w:sz w:val="24"/>
          <w:szCs w:val="24"/>
          <w:u w:val="single"/>
          <w:lang w:val="en-US"/>
        </w:rPr>
        <w:t>for</w:t>
      </w:r>
      <w:r w:rsidRPr="000F1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F137E">
        <w:rPr>
          <w:rFonts w:ascii="Arial" w:hAnsi="Arial" w:cs="Arial"/>
          <w:b/>
          <w:sz w:val="24"/>
          <w:szCs w:val="24"/>
          <w:u w:val="single"/>
          <w:lang w:val="en-US"/>
        </w:rPr>
        <w:t>Papers</w:t>
      </w:r>
    </w:p>
    <w:p w:rsidR="000F137E" w:rsidRDefault="000F137E" w:rsidP="000F137E">
      <w:pPr>
        <w:spacing w:after="120" w:line="240" w:lineRule="auto"/>
        <w:jc w:val="center"/>
        <w:rPr>
          <w:b/>
          <w:sz w:val="28"/>
          <w:szCs w:val="28"/>
        </w:rPr>
      </w:pPr>
    </w:p>
    <w:p w:rsidR="000F137E" w:rsidRDefault="000F137E" w:rsidP="000F137E">
      <w:pPr>
        <w:spacing w:after="120" w:line="240" w:lineRule="auto"/>
        <w:jc w:val="center"/>
        <w:rPr>
          <w:rFonts w:ascii="Arial Black" w:hAnsi="Arial Black" w:cs="Arial"/>
          <w:b/>
          <w:sz w:val="28"/>
          <w:szCs w:val="28"/>
          <w:lang w:val="en-US"/>
        </w:rPr>
      </w:pPr>
      <w:r w:rsidRPr="000F137E">
        <w:rPr>
          <w:rFonts w:ascii="Arial Black" w:hAnsi="Arial Black" w:cs="Arial"/>
          <w:b/>
          <w:sz w:val="28"/>
          <w:szCs w:val="28"/>
          <w:lang w:val="en-US"/>
        </w:rPr>
        <w:t>Russian Journal of Money and Finance</w:t>
      </w:r>
    </w:p>
    <w:p w:rsidR="0008645C" w:rsidRDefault="0008645C">
      <w:pPr>
        <w:rPr>
          <w:rFonts w:ascii="Arial" w:hAnsi="Arial" w:cs="Arial"/>
          <w:b/>
          <w:lang w:val="en-US"/>
        </w:rPr>
      </w:pPr>
    </w:p>
    <w:p w:rsidR="000F137E" w:rsidRPr="003743CC" w:rsidRDefault="000F137E" w:rsidP="000F137E">
      <w:pPr>
        <w:rPr>
          <w:rFonts w:ascii="Arial" w:hAnsi="Arial" w:cs="Arial"/>
          <w:i/>
          <w:lang w:val="en-GB"/>
        </w:rPr>
      </w:pPr>
      <w:r w:rsidRPr="000F137E">
        <w:rPr>
          <w:rFonts w:ascii="Arial" w:hAnsi="Arial" w:cs="Arial"/>
          <w:lang w:val="en-GB"/>
        </w:rPr>
        <w:t xml:space="preserve">Established in 1927, </w:t>
      </w:r>
      <w:r w:rsidRPr="000F137E">
        <w:rPr>
          <w:rFonts w:ascii="Arial" w:hAnsi="Arial" w:cs="Arial"/>
          <w:lang w:val="en-US"/>
        </w:rPr>
        <w:t xml:space="preserve">Journal of </w:t>
      </w:r>
      <w:r w:rsidRPr="000F137E">
        <w:rPr>
          <w:rFonts w:ascii="Arial" w:hAnsi="Arial" w:cs="Arial"/>
          <w:lang w:val="en-GB"/>
        </w:rPr>
        <w:t>Money and Credit</w:t>
      </w:r>
      <w:r w:rsidRPr="000F137E">
        <w:rPr>
          <w:rFonts w:ascii="Arial" w:hAnsi="Arial" w:cs="Arial"/>
          <w:b/>
          <w:lang w:val="en-GB"/>
        </w:rPr>
        <w:t xml:space="preserve"> </w:t>
      </w:r>
      <w:r w:rsidRPr="000F137E">
        <w:rPr>
          <w:rFonts w:ascii="Arial" w:hAnsi="Arial" w:cs="Arial"/>
          <w:lang w:val="en-GB"/>
        </w:rPr>
        <w:t xml:space="preserve">is the oldest Russian banking periodical issued by Bank of Russia. Starting from 2018, the journal will be converted into a purely scientific quarterly with a primary focus on academic research papers to be published in both Russian and English. The new name of journal is </w:t>
      </w:r>
      <w:r w:rsidRPr="003743CC">
        <w:rPr>
          <w:rFonts w:ascii="Arial" w:hAnsi="Arial" w:cs="Arial"/>
          <w:b/>
          <w:i/>
          <w:lang w:val="en-GB"/>
        </w:rPr>
        <w:t>Russian Journal of Money and Finance.</w:t>
      </w:r>
      <w:r w:rsidRPr="003743CC">
        <w:rPr>
          <w:rFonts w:ascii="Arial" w:hAnsi="Arial" w:cs="Arial"/>
          <w:i/>
          <w:lang w:val="en-GB"/>
        </w:rPr>
        <w:t xml:space="preserve"> </w:t>
      </w:r>
    </w:p>
    <w:p w:rsidR="000F137E" w:rsidRPr="000F137E" w:rsidRDefault="000F137E" w:rsidP="000F137E">
      <w:pPr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 xml:space="preserve">Russian Journal of Money and Finance </w:t>
      </w:r>
      <w:r w:rsidRPr="000F137E">
        <w:rPr>
          <w:rFonts w:ascii="Arial" w:hAnsi="Arial" w:cs="Arial"/>
          <w:lang w:val="en-GB"/>
        </w:rPr>
        <w:t>will predominantly cover various aspects of monetary economics including monetary policy</w:t>
      </w:r>
      <w:r>
        <w:rPr>
          <w:rFonts w:ascii="Arial" w:hAnsi="Arial" w:cs="Arial"/>
          <w:lang w:val="en-GB"/>
        </w:rPr>
        <w:t>,</w:t>
      </w:r>
      <w:r w:rsidRPr="000F137E">
        <w:rPr>
          <w:rFonts w:ascii="Arial" w:hAnsi="Arial" w:cs="Arial"/>
          <w:lang w:val="en-GB"/>
        </w:rPr>
        <w:t xml:space="preserve"> and a wide range of issues related to financial markets, banking and big data in economics and finance. The journal will seek to publish a wide variety of researchers’ views in these fields of study.</w:t>
      </w:r>
    </w:p>
    <w:p w:rsidR="00D57B95" w:rsidRPr="00D57B95" w:rsidRDefault="00D57B95" w:rsidP="00D57B95">
      <w:pPr>
        <w:rPr>
          <w:rFonts w:ascii="Arial" w:hAnsi="Arial" w:cs="Arial"/>
          <w:lang w:val="en-GB"/>
        </w:rPr>
      </w:pPr>
      <w:r w:rsidRPr="00D57B95">
        <w:rPr>
          <w:rFonts w:ascii="Arial" w:hAnsi="Arial" w:cs="Arial"/>
          <w:lang w:val="en-GB"/>
        </w:rPr>
        <w:t xml:space="preserve">Each article to be published in </w:t>
      </w:r>
      <w:r w:rsidRPr="00D57B95">
        <w:rPr>
          <w:rFonts w:ascii="Arial" w:hAnsi="Arial" w:cs="Arial"/>
          <w:i/>
          <w:lang w:val="en-GB"/>
        </w:rPr>
        <w:t>Russian Journal of Money and Finance</w:t>
      </w:r>
      <w:r w:rsidRPr="00D57B95">
        <w:rPr>
          <w:rFonts w:ascii="Arial" w:hAnsi="Arial" w:cs="Arial"/>
          <w:lang w:val="en-GB"/>
        </w:rPr>
        <w:t xml:space="preserve"> shall be subject to a review. This process shall be based on the principle of double blind review, whereby the author of the article is unknown to reviewers, and reviewers are unknown to the author.</w:t>
      </w:r>
    </w:p>
    <w:p w:rsidR="000F137E" w:rsidRDefault="000F137E" w:rsidP="000F137E">
      <w:pPr>
        <w:rPr>
          <w:rFonts w:ascii="Arial" w:hAnsi="Arial" w:cs="Arial"/>
          <w:lang w:val="en-GB"/>
        </w:rPr>
      </w:pPr>
    </w:p>
    <w:p w:rsidR="003B680E" w:rsidRDefault="00D57B95" w:rsidP="007B38A7">
      <w:pPr>
        <w:spacing w:after="120"/>
        <w:jc w:val="center"/>
        <w:rPr>
          <w:rFonts w:ascii="Arial" w:hAnsi="Arial" w:cs="Arial"/>
          <w:sz w:val="21"/>
          <w:szCs w:val="21"/>
          <w:lang w:val="en-GB"/>
        </w:rPr>
      </w:pPr>
      <w:r w:rsidRPr="003B680E">
        <w:rPr>
          <w:rFonts w:ascii="Arial" w:hAnsi="Arial" w:cs="Arial"/>
          <w:b/>
          <w:lang w:val="en-GB"/>
        </w:rPr>
        <w:t>Editor-in-Chief</w:t>
      </w:r>
      <w:r w:rsidRPr="003B680E">
        <w:rPr>
          <w:rFonts w:ascii="Arial" w:hAnsi="Arial" w:cs="Arial"/>
          <w:b/>
          <w:sz w:val="21"/>
          <w:szCs w:val="21"/>
          <w:lang w:val="en-GB"/>
        </w:rPr>
        <w:t>:</w:t>
      </w:r>
    </w:p>
    <w:p w:rsidR="00D57B95" w:rsidRPr="00904E3B" w:rsidRDefault="00D57B95" w:rsidP="007B38A7">
      <w:pPr>
        <w:spacing w:after="120"/>
        <w:rPr>
          <w:rFonts w:ascii="Arial" w:hAnsi="Arial" w:cs="Arial"/>
          <w:lang w:val="en-US"/>
        </w:rPr>
      </w:pPr>
      <w:proofErr w:type="spellStart"/>
      <w:r w:rsidRPr="00904E3B">
        <w:rPr>
          <w:rFonts w:ascii="Arial" w:hAnsi="Arial" w:cs="Arial"/>
          <w:b/>
          <w:lang w:val="en-GB"/>
        </w:rPr>
        <w:t>Ksenia</w:t>
      </w:r>
      <w:proofErr w:type="spellEnd"/>
      <w:r w:rsidRPr="00904E3B">
        <w:rPr>
          <w:rFonts w:ascii="Arial" w:hAnsi="Arial" w:cs="Arial"/>
          <w:b/>
          <w:lang w:val="en-GB"/>
        </w:rPr>
        <w:t xml:space="preserve"> </w:t>
      </w:r>
      <w:proofErr w:type="spellStart"/>
      <w:r w:rsidRPr="00904E3B">
        <w:rPr>
          <w:rFonts w:ascii="Arial" w:hAnsi="Arial" w:cs="Arial"/>
          <w:b/>
          <w:lang w:val="en-GB"/>
        </w:rPr>
        <w:t>Yudaeva</w:t>
      </w:r>
      <w:proofErr w:type="spellEnd"/>
      <w:r w:rsidRPr="00904E3B">
        <w:rPr>
          <w:rFonts w:ascii="Arial" w:hAnsi="Arial" w:cs="Arial"/>
          <w:b/>
          <w:lang w:val="en-GB"/>
        </w:rPr>
        <w:t>,</w:t>
      </w:r>
      <w:r w:rsidRPr="00904E3B">
        <w:rPr>
          <w:rFonts w:ascii="Arial" w:hAnsi="Arial" w:cs="Arial"/>
          <w:lang w:val="en-GB"/>
        </w:rPr>
        <w:t xml:space="preserve"> </w:t>
      </w:r>
      <w:r w:rsidRPr="00904E3B">
        <w:rPr>
          <w:rFonts w:ascii="Arial" w:hAnsi="Arial" w:cs="Arial"/>
          <w:lang w:val="en-US"/>
        </w:rPr>
        <w:t>First Deputy Governor of the Bank of Russia</w:t>
      </w:r>
    </w:p>
    <w:p w:rsidR="003B680E" w:rsidRDefault="003B680E" w:rsidP="000F137E">
      <w:pPr>
        <w:rPr>
          <w:sz w:val="21"/>
          <w:szCs w:val="21"/>
          <w:lang w:val="en-US"/>
        </w:rPr>
      </w:pPr>
    </w:p>
    <w:p w:rsidR="00D57B95" w:rsidRPr="003B680E" w:rsidRDefault="003F4615" w:rsidP="007B38A7">
      <w:pPr>
        <w:spacing w:after="12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Associate E</w:t>
      </w:r>
      <w:r w:rsidR="003B680E" w:rsidRPr="003B680E">
        <w:rPr>
          <w:rFonts w:ascii="Arial" w:hAnsi="Arial" w:cs="Arial"/>
          <w:b/>
          <w:lang w:val="en-US"/>
        </w:rPr>
        <w:t>ditors:</w:t>
      </w:r>
    </w:p>
    <w:p w:rsidR="003B680E" w:rsidRPr="00904E3B" w:rsidRDefault="003B680E" w:rsidP="007B38A7">
      <w:pPr>
        <w:spacing w:after="0" w:line="240" w:lineRule="auto"/>
        <w:rPr>
          <w:rFonts w:ascii="Arial" w:hAnsi="Arial" w:cs="Arial"/>
          <w:lang w:val="en-US"/>
        </w:rPr>
      </w:pPr>
      <w:r w:rsidRPr="00904E3B">
        <w:rPr>
          <w:rFonts w:ascii="Arial" w:hAnsi="Arial" w:cs="Arial"/>
          <w:b/>
          <w:lang w:val="en-US"/>
        </w:rPr>
        <w:t xml:space="preserve">Alex </w:t>
      </w:r>
      <w:proofErr w:type="spellStart"/>
      <w:r w:rsidRPr="00904E3B">
        <w:rPr>
          <w:rFonts w:ascii="Arial" w:hAnsi="Arial" w:cs="Arial"/>
          <w:b/>
          <w:lang w:val="en-US"/>
        </w:rPr>
        <w:t>Boulatov</w:t>
      </w:r>
      <w:proofErr w:type="spellEnd"/>
      <w:r w:rsidRPr="00904E3B">
        <w:rPr>
          <w:rFonts w:ascii="Arial" w:hAnsi="Arial" w:cs="Arial"/>
          <w:lang w:val="en-US"/>
        </w:rPr>
        <w:t>, International College for Economics and Finance, Higher School for Economics</w:t>
      </w:r>
    </w:p>
    <w:p w:rsidR="003F4615" w:rsidRPr="00904E3B" w:rsidRDefault="003B680E" w:rsidP="007B38A7">
      <w:pPr>
        <w:spacing w:after="0" w:line="240" w:lineRule="auto"/>
        <w:rPr>
          <w:rFonts w:ascii="Arial" w:hAnsi="Arial" w:cs="Arial"/>
          <w:lang w:val="en-US"/>
        </w:rPr>
      </w:pPr>
      <w:r w:rsidRPr="00904E3B">
        <w:rPr>
          <w:rFonts w:ascii="Arial" w:hAnsi="Arial" w:cs="Arial"/>
          <w:b/>
          <w:lang w:val="en-US"/>
        </w:rPr>
        <w:t>Philipp Kartaev</w:t>
      </w:r>
      <w:r w:rsidRPr="00904E3B">
        <w:rPr>
          <w:rFonts w:ascii="Arial" w:hAnsi="Arial" w:cs="Arial"/>
          <w:lang w:val="en-US"/>
        </w:rPr>
        <w:t xml:space="preserve">, </w:t>
      </w:r>
      <w:r w:rsidR="003F4615" w:rsidRPr="00904E3B">
        <w:rPr>
          <w:rFonts w:ascii="Arial" w:hAnsi="Arial" w:cs="Arial"/>
          <w:lang w:val="en-US"/>
        </w:rPr>
        <w:t>Moscow State University</w:t>
      </w:r>
    </w:p>
    <w:p w:rsidR="003F4615" w:rsidRPr="00904E3B" w:rsidRDefault="003F4615" w:rsidP="007B38A7">
      <w:pPr>
        <w:spacing w:after="0" w:line="240" w:lineRule="auto"/>
        <w:rPr>
          <w:rFonts w:ascii="Arial" w:hAnsi="Arial" w:cs="Arial"/>
          <w:lang w:val="en-US"/>
        </w:rPr>
      </w:pPr>
      <w:r w:rsidRPr="00904E3B">
        <w:rPr>
          <w:rFonts w:ascii="Arial" w:hAnsi="Arial" w:cs="Arial"/>
          <w:b/>
          <w:lang w:val="en-US"/>
        </w:rPr>
        <w:t>Dmitry Makarov</w:t>
      </w:r>
      <w:r w:rsidR="003B680E" w:rsidRPr="00904E3B">
        <w:rPr>
          <w:rFonts w:ascii="Arial" w:hAnsi="Arial" w:cs="Arial"/>
          <w:lang w:val="en-US"/>
        </w:rPr>
        <w:t xml:space="preserve">, </w:t>
      </w:r>
      <w:r w:rsidRPr="00904E3B">
        <w:rPr>
          <w:rFonts w:ascii="Arial" w:hAnsi="Arial" w:cs="Arial"/>
          <w:lang w:val="en-US"/>
        </w:rPr>
        <w:t>International College for Economics and Finance, Higher School for Economics</w:t>
      </w:r>
    </w:p>
    <w:p w:rsidR="003F4615" w:rsidRPr="00904E3B" w:rsidRDefault="003B680E" w:rsidP="007B38A7">
      <w:pPr>
        <w:spacing w:after="0" w:line="240" w:lineRule="auto"/>
        <w:rPr>
          <w:rFonts w:ascii="Arial" w:hAnsi="Arial" w:cs="Arial"/>
          <w:lang w:val="en-US"/>
        </w:rPr>
      </w:pPr>
      <w:r w:rsidRPr="00904E3B">
        <w:rPr>
          <w:rFonts w:ascii="Arial" w:hAnsi="Arial" w:cs="Arial"/>
          <w:b/>
        </w:rPr>
        <w:t>А</w:t>
      </w:r>
      <w:proofErr w:type="spellStart"/>
      <w:r w:rsidR="003F4615" w:rsidRPr="00904E3B">
        <w:rPr>
          <w:rFonts w:ascii="Arial" w:hAnsi="Arial" w:cs="Arial"/>
          <w:b/>
          <w:lang w:val="en-US"/>
        </w:rPr>
        <w:t>lexander</w:t>
      </w:r>
      <w:proofErr w:type="spellEnd"/>
      <w:r w:rsidR="003F4615" w:rsidRPr="00904E3B">
        <w:rPr>
          <w:rFonts w:ascii="Arial" w:hAnsi="Arial" w:cs="Arial"/>
          <w:b/>
          <w:lang w:val="en-US"/>
        </w:rPr>
        <w:t xml:space="preserve"> </w:t>
      </w:r>
      <w:proofErr w:type="spellStart"/>
      <w:r w:rsidR="003F4615" w:rsidRPr="00904E3B">
        <w:rPr>
          <w:rFonts w:ascii="Arial" w:hAnsi="Arial" w:cs="Arial"/>
          <w:b/>
          <w:lang w:val="en-US"/>
        </w:rPr>
        <w:t>Muravyev</w:t>
      </w:r>
      <w:proofErr w:type="spellEnd"/>
      <w:r w:rsidRPr="00904E3B">
        <w:rPr>
          <w:rFonts w:ascii="Arial" w:hAnsi="Arial" w:cs="Arial"/>
          <w:lang w:val="en-US"/>
        </w:rPr>
        <w:t xml:space="preserve">, </w:t>
      </w:r>
      <w:r w:rsidR="003F4615" w:rsidRPr="00904E3B">
        <w:rPr>
          <w:rFonts w:ascii="Arial" w:hAnsi="Arial" w:cs="Arial"/>
          <w:lang w:val="en-US"/>
        </w:rPr>
        <w:t>Higher School for Economics</w:t>
      </w:r>
      <w:r w:rsidR="003F4615" w:rsidRPr="00904E3B">
        <w:rPr>
          <w:rFonts w:ascii="Arial" w:hAnsi="Arial" w:cs="Arial"/>
          <w:b/>
          <w:lang w:val="en-US"/>
        </w:rPr>
        <w:t xml:space="preserve"> </w:t>
      </w:r>
      <w:r w:rsidR="003F4615" w:rsidRPr="00904E3B">
        <w:rPr>
          <w:rFonts w:ascii="Arial" w:hAnsi="Arial" w:cs="Arial"/>
          <w:lang w:val="en-US"/>
        </w:rPr>
        <w:t xml:space="preserve">– </w:t>
      </w:r>
      <w:proofErr w:type="spellStart"/>
      <w:r w:rsidR="003F4615" w:rsidRPr="00904E3B">
        <w:rPr>
          <w:rFonts w:ascii="Arial" w:hAnsi="Arial" w:cs="Arial"/>
          <w:lang w:val="en-US"/>
        </w:rPr>
        <w:t>St.Petersburg</w:t>
      </w:r>
      <w:proofErr w:type="spellEnd"/>
    </w:p>
    <w:p w:rsidR="003F4615" w:rsidRPr="00904E3B" w:rsidRDefault="003F4615" w:rsidP="007B38A7">
      <w:pPr>
        <w:spacing w:after="0" w:line="240" w:lineRule="auto"/>
        <w:rPr>
          <w:rFonts w:ascii="Arial" w:hAnsi="Arial" w:cs="Arial"/>
          <w:lang w:val="en-US"/>
        </w:rPr>
      </w:pPr>
      <w:r w:rsidRPr="00904E3B">
        <w:rPr>
          <w:rFonts w:ascii="Arial" w:hAnsi="Arial" w:cs="Arial"/>
          <w:b/>
          <w:lang w:val="en-US"/>
        </w:rPr>
        <w:t xml:space="preserve">Maxim </w:t>
      </w:r>
      <w:proofErr w:type="spellStart"/>
      <w:r w:rsidRPr="00904E3B">
        <w:rPr>
          <w:rFonts w:ascii="Arial" w:hAnsi="Arial" w:cs="Arial"/>
          <w:b/>
          <w:lang w:val="en-US"/>
        </w:rPr>
        <w:t>Nikitin</w:t>
      </w:r>
      <w:proofErr w:type="spellEnd"/>
      <w:r w:rsidR="003B680E" w:rsidRPr="00904E3B">
        <w:rPr>
          <w:rFonts w:ascii="Arial" w:hAnsi="Arial" w:cs="Arial"/>
          <w:lang w:val="en-US"/>
        </w:rPr>
        <w:t xml:space="preserve">, </w:t>
      </w:r>
      <w:r w:rsidRPr="00904E3B">
        <w:rPr>
          <w:rFonts w:ascii="Arial" w:hAnsi="Arial" w:cs="Arial"/>
          <w:lang w:val="en-US"/>
        </w:rPr>
        <w:t>International College for Economics and Finance, Higher School for Economics</w:t>
      </w:r>
    </w:p>
    <w:p w:rsidR="003B680E" w:rsidRPr="00904E3B" w:rsidRDefault="003F4615" w:rsidP="007B38A7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904E3B">
        <w:rPr>
          <w:rFonts w:ascii="Arial" w:hAnsi="Arial" w:cs="Arial"/>
          <w:b/>
          <w:lang w:val="en-US"/>
        </w:rPr>
        <w:t>Anna Obizhaeva</w:t>
      </w:r>
      <w:r w:rsidR="003B680E" w:rsidRPr="00904E3B">
        <w:rPr>
          <w:rFonts w:ascii="Arial" w:hAnsi="Arial" w:cs="Arial"/>
          <w:lang w:val="en-US"/>
        </w:rPr>
        <w:t xml:space="preserve">, </w:t>
      </w:r>
      <w:r w:rsidRPr="00904E3B">
        <w:rPr>
          <w:rFonts w:ascii="Arial" w:eastAsia="Times New Roman" w:hAnsi="Arial" w:cs="Arial"/>
          <w:color w:val="000000"/>
          <w:lang w:val="en-US" w:eastAsia="ru-RU"/>
        </w:rPr>
        <w:t>New Economic School</w:t>
      </w:r>
    </w:p>
    <w:p w:rsidR="003B680E" w:rsidRPr="00904E3B" w:rsidRDefault="003F4615" w:rsidP="007B38A7">
      <w:pPr>
        <w:spacing w:after="0" w:line="240" w:lineRule="auto"/>
        <w:rPr>
          <w:rFonts w:ascii="Arial" w:hAnsi="Arial" w:cs="Arial"/>
          <w:lang w:val="en-US"/>
        </w:rPr>
      </w:pPr>
      <w:r w:rsidRPr="00904E3B">
        <w:rPr>
          <w:rFonts w:ascii="Arial" w:hAnsi="Arial" w:cs="Arial"/>
          <w:b/>
          <w:lang w:val="en-US"/>
        </w:rPr>
        <w:t>Andrei Simonov</w:t>
      </w:r>
      <w:r w:rsidR="003B680E" w:rsidRPr="00904E3B">
        <w:rPr>
          <w:rFonts w:ascii="Arial" w:hAnsi="Arial" w:cs="Arial"/>
          <w:lang w:val="en-US"/>
        </w:rPr>
        <w:t xml:space="preserve">, </w:t>
      </w:r>
      <w:r w:rsidR="003B680E" w:rsidRPr="00904E3B">
        <w:rPr>
          <w:rFonts w:ascii="Arial" w:eastAsia="Times New Roman" w:hAnsi="Arial" w:cs="Arial"/>
          <w:color w:val="000000"/>
          <w:lang w:val="en-US" w:eastAsia="ru-RU"/>
        </w:rPr>
        <w:t>Michigan State University</w:t>
      </w:r>
    </w:p>
    <w:p w:rsidR="003B680E" w:rsidRPr="00904E3B" w:rsidRDefault="00C63CE6" w:rsidP="007B38A7">
      <w:pPr>
        <w:spacing w:after="0" w:line="240" w:lineRule="auto"/>
        <w:rPr>
          <w:rFonts w:ascii="Arial" w:hAnsi="Arial" w:cs="Arial"/>
          <w:lang w:val="en-US"/>
        </w:rPr>
      </w:pPr>
      <w:r w:rsidRPr="00904E3B">
        <w:rPr>
          <w:rFonts w:ascii="Arial" w:hAnsi="Arial" w:cs="Arial"/>
          <w:b/>
          <w:lang w:val="en-US"/>
        </w:rPr>
        <w:t xml:space="preserve">Sergey </w:t>
      </w:r>
      <w:proofErr w:type="spellStart"/>
      <w:r w:rsidRPr="00904E3B">
        <w:rPr>
          <w:rFonts w:ascii="Arial" w:hAnsi="Arial" w:cs="Arial"/>
          <w:b/>
          <w:lang w:val="en-US"/>
        </w:rPr>
        <w:t>Slobodyan</w:t>
      </w:r>
      <w:proofErr w:type="spellEnd"/>
      <w:r w:rsidR="003B680E" w:rsidRPr="00904E3B">
        <w:rPr>
          <w:rFonts w:ascii="Arial" w:hAnsi="Arial" w:cs="Arial"/>
          <w:lang w:val="en-US"/>
        </w:rPr>
        <w:t xml:space="preserve">, </w:t>
      </w:r>
      <w:r w:rsidRPr="00904E3B">
        <w:rPr>
          <w:rFonts w:ascii="Arial" w:hAnsi="Arial" w:cs="Arial"/>
          <w:lang w:val="en-US"/>
        </w:rPr>
        <w:t>Higher School for Economics</w:t>
      </w:r>
      <w:r w:rsidRPr="00904E3B">
        <w:rPr>
          <w:rFonts w:ascii="Arial" w:hAnsi="Arial" w:cs="Arial"/>
          <w:b/>
          <w:lang w:val="en-US"/>
        </w:rPr>
        <w:t xml:space="preserve"> </w:t>
      </w:r>
      <w:r w:rsidRPr="00904E3B">
        <w:rPr>
          <w:rFonts w:ascii="Arial" w:hAnsi="Arial" w:cs="Arial"/>
          <w:lang w:val="en-US"/>
        </w:rPr>
        <w:t xml:space="preserve">– </w:t>
      </w:r>
      <w:proofErr w:type="spellStart"/>
      <w:r w:rsidRPr="00904E3B">
        <w:rPr>
          <w:rFonts w:ascii="Arial" w:hAnsi="Arial" w:cs="Arial"/>
          <w:lang w:val="en-US"/>
        </w:rPr>
        <w:t>St.Petersburg</w:t>
      </w:r>
      <w:proofErr w:type="spellEnd"/>
    </w:p>
    <w:p w:rsidR="003B680E" w:rsidRPr="00904E3B" w:rsidRDefault="00C63CE6" w:rsidP="007B38A7">
      <w:pPr>
        <w:spacing w:after="0" w:line="240" w:lineRule="auto"/>
        <w:rPr>
          <w:rFonts w:ascii="Arial" w:hAnsi="Arial" w:cs="Arial"/>
          <w:lang w:val="en-US"/>
        </w:rPr>
      </w:pPr>
      <w:r w:rsidRPr="00904E3B">
        <w:rPr>
          <w:rFonts w:ascii="Arial" w:hAnsi="Arial" w:cs="Arial"/>
          <w:b/>
          <w:lang w:val="en-US"/>
        </w:rPr>
        <w:t>Galina Hale</w:t>
      </w:r>
      <w:r w:rsidR="003B680E" w:rsidRPr="00904E3B">
        <w:rPr>
          <w:rFonts w:ascii="Arial" w:hAnsi="Arial" w:cs="Arial"/>
          <w:lang w:val="en-US"/>
        </w:rPr>
        <w:t xml:space="preserve">, </w:t>
      </w:r>
      <w:r w:rsidRPr="00904E3B">
        <w:rPr>
          <w:rFonts w:ascii="Arial" w:hAnsi="Arial" w:cs="Arial"/>
          <w:lang w:val="en-US"/>
        </w:rPr>
        <w:t>Federal Reserve Bank of San Francisco</w:t>
      </w:r>
    </w:p>
    <w:p w:rsidR="003B680E" w:rsidRPr="00904E3B" w:rsidRDefault="00C63CE6" w:rsidP="007B38A7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904E3B">
        <w:rPr>
          <w:rFonts w:ascii="Arial" w:hAnsi="Arial" w:cs="Arial"/>
          <w:b/>
          <w:lang w:val="en-US"/>
        </w:rPr>
        <w:t>Valery Charnavoki</w:t>
      </w:r>
      <w:r w:rsidR="003B680E" w:rsidRPr="00904E3B">
        <w:rPr>
          <w:rFonts w:ascii="Arial" w:hAnsi="Arial" w:cs="Arial"/>
          <w:lang w:val="en-US"/>
        </w:rPr>
        <w:t xml:space="preserve">, </w:t>
      </w:r>
      <w:r w:rsidRPr="00904E3B">
        <w:rPr>
          <w:rFonts w:ascii="Arial" w:eastAsia="Times New Roman" w:hAnsi="Arial" w:cs="Arial"/>
          <w:color w:val="000000"/>
          <w:lang w:val="en-US" w:eastAsia="ru-RU"/>
        </w:rPr>
        <w:t>New Economic School</w:t>
      </w:r>
    </w:p>
    <w:p w:rsidR="00C63CE6" w:rsidRDefault="00C63CE6" w:rsidP="00C63CE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743CC" w:rsidRDefault="003743CC" w:rsidP="000F137E">
      <w:pPr>
        <w:rPr>
          <w:i/>
          <w:lang w:val="en-GB"/>
        </w:rPr>
      </w:pPr>
    </w:p>
    <w:p w:rsidR="000F137E" w:rsidRDefault="003743CC" w:rsidP="000F137E">
      <w:pPr>
        <w:rPr>
          <w:rFonts w:ascii="Arial" w:hAnsi="Arial" w:cs="Arial"/>
          <w:lang w:val="en-GB"/>
        </w:rPr>
      </w:pPr>
      <w:r w:rsidRPr="003743CC">
        <w:rPr>
          <w:rFonts w:ascii="Arial" w:hAnsi="Arial" w:cs="Arial"/>
          <w:i/>
          <w:lang w:val="en-GB"/>
        </w:rPr>
        <w:t>Russian Journal of Money and Finance</w:t>
      </w:r>
      <w:r w:rsidRPr="003743CC">
        <w:rPr>
          <w:rFonts w:ascii="Arial" w:hAnsi="Arial" w:cs="Arial"/>
          <w:lang w:val="en-GB"/>
        </w:rPr>
        <w:t xml:space="preserve"> (</w:t>
      </w:r>
      <w:r w:rsidR="000F137E" w:rsidRPr="003743CC">
        <w:rPr>
          <w:rFonts w:ascii="Arial" w:hAnsi="Arial" w:cs="Arial"/>
          <w:i/>
          <w:lang w:val="en-GB"/>
        </w:rPr>
        <w:t>Money and Credit</w:t>
      </w:r>
      <w:r w:rsidRPr="003743CC">
        <w:rPr>
          <w:rFonts w:ascii="Arial" w:hAnsi="Arial" w:cs="Arial"/>
          <w:i/>
          <w:lang w:val="en-GB"/>
        </w:rPr>
        <w:t>)</w:t>
      </w:r>
      <w:r w:rsidR="000F137E" w:rsidRPr="003743CC">
        <w:rPr>
          <w:rFonts w:ascii="Arial" w:hAnsi="Arial" w:cs="Arial"/>
          <w:lang w:val="en-GB"/>
        </w:rPr>
        <w:t xml:space="preserve"> is included in the list of leading scientific journals of the Higher Attestation Commission and the </w:t>
      </w:r>
      <w:r w:rsidRPr="003743CC">
        <w:rPr>
          <w:rFonts w:ascii="Arial" w:hAnsi="Arial" w:cs="Arial"/>
          <w:lang w:val="en-GB"/>
        </w:rPr>
        <w:t xml:space="preserve">Web of Science </w:t>
      </w:r>
      <w:r w:rsidR="000F137E" w:rsidRPr="003743CC">
        <w:rPr>
          <w:rFonts w:ascii="Arial" w:hAnsi="Arial" w:cs="Arial"/>
          <w:lang w:val="en-GB"/>
        </w:rPr>
        <w:t>Russian Science Citation Index. There are plans to secure its future entry into Scopus and Web of Science Core Collection international databases.</w:t>
      </w:r>
    </w:p>
    <w:p w:rsidR="003743CC" w:rsidRPr="003743CC" w:rsidRDefault="003743CC" w:rsidP="000F137E">
      <w:pPr>
        <w:rPr>
          <w:rFonts w:ascii="Arial" w:hAnsi="Arial" w:cs="Arial"/>
          <w:lang w:val="en-GB"/>
        </w:rPr>
      </w:pPr>
    </w:p>
    <w:p w:rsidR="003743CC" w:rsidRDefault="003743CC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0F137E" w:rsidRPr="00644F6C" w:rsidRDefault="000F137E" w:rsidP="00644F6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44F6C">
        <w:rPr>
          <w:rFonts w:ascii="Arial" w:hAnsi="Arial" w:cs="Arial"/>
          <w:b/>
          <w:sz w:val="28"/>
          <w:szCs w:val="28"/>
          <w:lang w:val="en-GB"/>
        </w:rPr>
        <w:lastRenderedPageBreak/>
        <w:t>Information for authors</w:t>
      </w:r>
    </w:p>
    <w:p w:rsidR="000F137E" w:rsidRPr="00EF7B8F" w:rsidRDefault="000F137E" w:rsidP="000F137E">
      <w:pPr>
        <w:rPr>
          <w:b/>
          <w:lang w:val="en-GB"/>
        </w:rPr>
      </w:pPr>
    </w:p>
    <w:p w:rsidR="000F137E" w:rsidRPr="004B57F9" w:rsidRDefault="00644F6C" w:rsidP="000F137E">
      <w:pPr>
        <w:rPr>
          <w:rFonts w:ascii="Arial" w:hAnsi="Arial" w:cs="Arial"/>
          <w:lang w:val="en-GB"/>
        </w:rPr>
      </w:pPr>
      <w:r w:rsidRPr="004B57F9">
        <w:rPr>
          <w:rFonts w:ascii="Arial" w:hAnsi="Arial" w:cs="Arial"/>
          <w:i/>
          <w:lang w:val="en-GB"/>
        </w:rPr>
        <w:t>Russian Journal of Money and Finance</w:t>
      </w:r>
      <w:r w:rsidRPr="004B57F9">
        <w:rPr>
          <w:rFonts w:ascii="Arial" w:hAnsi="Arial" w:cs="Arial"/>
          <w:lang w:val="en-GB"/>
        </w:rPr>
        <w:t xml:space="preserve"> </w:t>
      </w:r>
      <w:r w:rsidR="000F137E" w:rsidRPr="004B57F9">
        <w:rPr>
          <w:rFonts w:ascii="Arial" w:hAnsi="Arial" w:cs="Arial"/>
          <w:lang w:val="en-GB"/>
        </w:rPr>
        <w:t>will accept articles for publication on monetary economics, including monetary policy issues, finance, banking</w:t>
      </w:r>
      <w:r w:rsidRPr="004B57F9">
        <w:rPr>
          <w:rFonts w:ascii="Arial" w:hAnsi="Arial" w:cs="Arial"/>
          <w:lang w:val="en-GB"/>
        </w:rPr>
        <w:t>,</w:t>
      </w:r>
      <w:r w:rsidR="000F137E" w:rsidRPr="004B57F9">
        <w:rPr>
          <w:rFonts w:ascii="Arial" w:hAnsi="Arial" w:cs="Arial"/>
          <w:lang w:val="en-GB"/>
        </w:rPr>
        <w:t xml:space="preserve"> big data in economics and finance. </w:t>
      </w:r>
      <w:r w:rsidR="004B57F9" w:rsidRPr="004B57F9">
        <w:rPr>
          <w:rFonts w:ascii="Arial" w:hAnsi="Arial" w:cs="Arial"/>
          <w:lang w:val="en-GB"/>
        </w:rPr>
        <w:t>Journal languages are English and Russian.</w:t>
      </w:r>
    </w:p>
    <w:p w:rsidR="000F137E" w:rsidRPr="00644F6C" w:rsidRDefault="000F137E" w:rsidP="000F137E">
      <w:pPr>
        <w:rPr>
          <w:rFonts w:ascii="Arial" w:hAnsi="Arial" w:cs="Arial"/>
          <w:lang w:val="en-GB"/>
        </w:rPr>
      </w:pPr>
    </w:p>
    <w:p w:rsidR="000F137E" w:rsidRPr="00644F6C" w:rsidRDefault="000F137E" w:rsidP="000F137E">
      <w:pPr>
        <w:rPr>
          <w:rFonts w:ascii="Arial" w:hAnsi="Arial" w:cs="Arial"/>
          <w:lang w:val="en-GB"/>
        </w:rPr>
      </w:pPr>
      <w:r w:rsidRPr="00644F6C">
        <w:rPr>
          <w:rFonts w:ascii="Arial" w:hAnsi="Arial" w:cs="Arial"/>
          <w:lang w:val="en-GB"/>
        </w:rPr>
        <w:t>To meet academic publication requirements, articles must:</w:t>
      </w:r>
    </w:p>
    <w:p w:rsidR="000F137E" w:rsidRPr="00644F6C" w:rsidRDefault="000F137E" w:rsidP="000F137E">
      <w:pPr>
        <w:pStyle w:val="a3"/>
        <w:numPr>
          <w:ilvl w:val="0"/>
          <w:numId w:val="1"/>
        </w:numPr>
        <w:rPr>
          <w:rFonts w:ascii="Arial" w:hAnsi="Arial" w:cs="Arial"/>
          <w:lang w:val="en-GB"/>
        </w:rPr>
      </w:pPr>
      <w:r w:rsidRPr="00644F6C">
        <w:rPr>
          <w:rFonts w:ascii="Arial" w:hAnsi="Arial" w:cs="Arial"/>
          <w:lang w:val="en-GB"/>
        </w:rPr>
        <w:t>clearly demonstrate scientific novelty or contain further improvement (refinement or new interpretation) of previously published papers</w:t>
      </w:r>
    </w:p>
    <w:p w:rsidR="000F137E" w:rsidRPr="00644F6C" w:rsidRDefault="000F137E" w:rsidP="000F137E">
      <w:pPr>
        <w:pStyle w:val="a3"/>
        <w:numPr>
          <w:ilvl w:val="0"/>
          <w:numId w:val="1"/>
        </w:numPr>
        <w:rPr>
          <w:rFonts w:ascii="Arial" w:hAnsi="Arial" w:cs="Arial"/>
          <w:lang w:val="en-GB"/>
        </w:rPr>
      </w:pPr>
      <w:r w:rsidRPr="00644F6C">
        <w:rPr>
          <w:rFonts w:ascii="Arial" w:hAnsi="Arial" w:cs="Arial"/>
          <w:lang w:val="en-GB"/>
        </w:rPr>
        <w:t xml:space="preserve">contain a problem statement </w:t>
      </w:r>
    </w:p>
    <w:p w:rsidR="000F137E" w:rsidRPr="00644F6C" w:rsidRDefault="000F137E" w:rsidP="000F137E">
      <w:pPr>
        <w:pStyle w:val="a3"/>
        <w:numPr>
          <w:ilvl w:val="0"/>
          <w:numId w:val="1"/>
        </w:numPr>
        <w:rPr>
          <w:rFonts w:ascii="Arial" w:hAnsi="Arial" w:cs="Arial"/>
          <w:lang w:val="en-GB"/>
        </w:rPr>
      </w:pPr>
      <w:r w:rsidRPr="00644F6C">
        <w:rPr>
          <w:rFonts w:ascii="Arial" w:hAnsi="Arial" w:cs="Arial"/>
          <w:lang w:val="en-GB"/>
        </w:rPr>
        <w:t xml:space="preserve">have a clear structure (e.g. as per </w:t>
      </w:r>
      <w:proofErr w:type="spellStart"/>
      <w:r w:rsidRPr="00644F6C">
        <w:rPr>
          <w:rFonts w:ascii="Arial" w:hAnsi="Arial" w:cs="Arial"/>
          <w:lang w:val="en-GB"/>
        </w:rPr>
        <w:t>IMRaD</w:t>
      </w:r>
      <w:proofErr w:type="spellEnd"/>
      <w:r w:rsidRPr="00644F6C">
        <w:rPr>
          <w:rFonts w:ascii="Arial" w:hAnsi="Arial" w:cs="Arial"/>
          <w:lang w:val="en-GB"/>
        </w:rPr>
        <w:t>*)</w:t>
      </w:r>
    </w:p>
    <w:p w:rsidR="000F137E" w:rsidRPr="00644F6C" w:rsidRDefault="000F137E" w:rsidP="000F137E">
      <w:pPr>
        <w:pStyle w:val="a3"/>
        <w:numPr>
          <w:ilvl w:val="0"/>
          <w:numId w:val="1"/>
        </w:numPr>
        <w:rPr>
          <w:rFonts w:ascii="Arial" w:hAnsi="Arial" w:cs="Arial"/>
          <w:lang w:val="en-GB"/>
        </w:rPr>
      </w:pPr>
      <w:r w:rsidRPr="00644F6C">
        <w:rPr>
          <w:rFonts w:ascii="Arial" w:hAnsi="Arial" w:cs="Arial"/>
          <w:lang w:val="en-GB"/>
        </w:rPr>
        <w:t>rely on a sufficient range of scientific sources</w:t>
      </w:r>
    </w:p>
    <w:p w:rsidR="000F137E" w:rsidRPr="00644F6C" w:rsidRDefault="004B57F9" w:rsidP="000F137E">
      <w:pPr>
        <w:pStyle w:val="a3"/>
        <w:numPr>
          <w:ilvl w:val="0"/>
          <w:numId w:val="1"/>
        </w:num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c</w:t>
      </w:r>
      <w:r w:rsidRPr="00644F6C">
        <w:rPr>
          <w:rFonts w:ascii="Arial" w:hAnsi="Arial" w:cs="Arial"/>
          <w:lang w:val="en-GB"/>
        </w:rPr>
        <w:t>onstitute</w:t>
      </w:r>
      <w:proofErr w:type="gramEnd"/>
      <w:r w:rsidR="000F137E" w:rsidRPr="00644F6C">
        <w:rPr>
          <w:rFonts w:ascii="Arial" w:hAnsi="Arial" w:cs="Arial"/>
          <w:lang w:val="en-GB"/>
        </w:rPr>
        <w:t xml:space="preserve"> a piece of original research.</w:t>
      </w:r>
    </w:p>
    <w:p w:rsidR="000F137E" w:rsidRPr="004B57F9" w:rsidRDefault="000F137E" w:rsidP="000F137E">
      <w:pPr>
        <w:rPr>
          <w:rFonts w:ascii="Arial" w:hAnsi="Arial" w:cs="Arial"/>
          <w:lang w:val="en-GB"/>
        </w:rPr>
      </w:pPr>
    </w:p>
    <w:p w:rsidR="004B57F9" w:rsidRPr="004B57F9" w:rsidRDefault="000F137E" w:rsidP="004B57F9">
      <w:pPr>
        <w:rPr>
          <w:rFonts w:ascii="Arial" w:hAnsi="Arial" w:cs="Arial"/>
          <w:lang w:val="en-GB"/>
        </w:rPr>
      </w:pPr>
      <w:r w:rsidRPr="004B57F9">
        <w:rPr>
          <w:rFonts w:ascii="Arial" w:hAnsi="Arial" w:cs="Arial"/>
          <w:lang w:val="en-GB"/>
        </w:rPr>
        <w:t xml:space="preserve">The ‘original research’ requirement implies that the article has never been published and no multiple publications sought. </w:t>
      </w:r>
      <w:r w:rsidR="004B57F9" w:rsidRPr="004B57F9">
        <w:rPr>
          <w:rFonts w:ascii="Arial" w:hAnsi="Arial" w:cs="Arial"/>
          <w:lang w:val="en-GB"/>
        </w:rPr>
        <w:t xml:space="preserve">Authors are responsible for the accuracy of the information presented in their manuscripts, including facts, figures etc. </w:t>
      </w:r>
    </w:p>
    <w:p w:rsidR="004B57F9" w:rsidRDefault="004B57F9" w:rsidP="000F137E">
      <w:pPr>
        <w:spacing w:line="259" w:lineRule="auto"/>
        <w:rPr>
          <w:lang w:val="en-GB"/>
        </w:rPr>
      </w:pPr>
    </w:p>
    <w:p w:rsidR="000F137E" w:rsidRPr="004B57F9" w:rsidRDefault="000F137E" w:rsidP="000F137E">
      <w:pPr>
        <w:spacing w:line="259" w:lineRule="auto"/>
        <w:rPr>
          <w:rFonts w:ascii="Arial" w:hAnsi="Arial" w:cs="Arial"/>
          <w:lang w:val="en-GB"/>
        </w:rPr>
      </w:pPr>
      <w:r w:rsidRPr="004B57F9">
        <w:rPr>
          <w:rFonts w:ascii="Arial" w:hAnsi="Arial" w:cs="Arial"/>
          <w:lang w:val="en-GB"/>
        </w:rPr>
        <w:t>Three types of academic papers are accepted:</w:t>
      </w:r>
    </w:p>
    <w:p w:rsidR="000F137E" w:rsidRPr="004B57F9" w:rsidRDefault="000F137E" w:rsidP="000F137E">
      <w:pPr>
        <w:pStyle w:val="a3"/>
        <w:numPr>
          <w:ilvl w:val="0"/>
          <w:numId w:val="6"/>
        </w:numPr>
        <w:rPr>
          <w:rFonts w:ascii="Arial" w:hAnsi="Arial" w:cs="Arial"/>
          <w:lang w:val="en-GB"/>
        </w:rPr>
      </w:pPr>
      <w:r w:rsidRPr="004B57F9">
        <w:rPr>
          <w:rFonts w:ascii="Arial" w:hAnsi="Arial" w:cs="Arial"/>
          <w:lang w:val="en-GB"/>
        </w:rPr>
        <w:t xml:space="preserve"> </w:t>
      </w:r>
      <w:r w:rsidRPr="004B57F9">
        <w:rPr>
          <w:rFonts w:ascii="Arial" w:hAnsi="Arial" w:cs="Arial"/>
          <w:i/>
          <w:lang w:val="en-GB"/>
        </w:rPr>
        <w:t>Research Paper</w:t>
      </w:r>
      <w:r w:rsidRPr="004B57F9">
        <w:rPr>
          <w:rFonts w:ascii="Arial" w:hAnsi="Arial" w:cs="Arial"/>
          <w:lang w:val="en-GB"/>
        </w:rPr>
        <w:t xml:space="preserve">: a complete high-quality piece of scientific research containing original findings. </w:t>
      </w:r>
    </w:p>
    <w:p w:rsidR="000F137E" w:rsidRPr="004B57F9" w:rsidRDefault="000F137E" w:rsidP="000F137E">
      <w:pPr>
        <w:pStyle w:val="a3"/>
        <w:rPr>
          <w:rFonts w:ascii="Arial" w:hAnsi="Arial" w:cs="Arial"/>
          <w:lang w:val="en-GB"/>
        </w:rPr>
      </w:pPr>
    </w:p>
    <w:p w:rsidR="000F137E" w:rsidRPr="004B57F9" w:rsidRDefault="000F137E" w:rsidP="000F137E">
      <w:pPr>
        <w:pStyle w:val="a3"/>
        <w:numPr>
          <w:ilvl w:val="0"/>
          <w:numId w:val="6"/>
        </w:numPr>
        <w:rPr>
          <w:rFonts w:ascii="Arial" w:hAnsi="Arial" w:cs="Arial"/>
          <w:lang w:val="en-GB"/>
        </w:rPr>
      </w:pPr>
      <w:r w:rsidRPr="004B57F9">
        <w:rPr>
          <w:rFonts w:ascii="Arial" w:hAnsi="Arial" w:cs="Arial"/>
          <w:i/>
          <w:lang w:val="en-GB"/>
        </w:rPr>
        <w:t>Short Communications</w:t>
      </w:r>
      <w:r w:rsidRPr="004B57F9">
        <w:rPr>
          <w:rFonts w:ascii="Arial" w:hAnsi="Arial" w:cs="Arial"/>
          <w:lang w:val="en-GB"/>
        </w:rPr>
        <w:t>: articles presenting original and valuable academic data subject to subsequent research (e.g., research into a particular aspect of a problem or new substantial findings on its evolution, a novel approach to modelling, etc.).</w:t>
      </w:r>
    </w:p>
    <w:p w:rsidR="000F137E" w:rsidRPr="004B57F9" w:rsidRDefault="000F137E" w:rsidP="000F137E">
      <w:pPr>
        <w:pStyle w:val="a3"/>
        <w:rPr>
          <w:rFonts w:ascii="Arial" w:hAnsi="Arial" w:cs="Arial"/>
          <w:lang w:val="en-GB"/>
        </w:rPr>
      </w:pPr>
    </w:p>
    <w:p w:rsidR="000F137E" w:rsidRDefault="000F137E" w:rsidP="000F137E">
      <w:pPr>
        <w:pStyle w:val="a3"/>
        <w:numPr>
          <w:ilvl w:val="0"/>
          <w:numId w:val="6"/>
        </w:numPr>
        <w:rPr>
          <w:rFonts w:ascii="Arial" w:hAnsi="Arial" w:cs="Arial"/>
          <w:lang w:val="en-GB"/>
        </w:rPr>
      </w:pPr>
      <w:r w:rsidRPr="004B57F9">
        <w:rPr>
          <w:rFonts w:ascii="Arial" w:hAnsi="Arial" w:cs="Arial"/>
          <w:i/>
          <w:lang w:val="en-GB"/>
        </w:rPr>
        <w:t>Review Paper</w:t>
      </w:r>
      <w:r w:rsidRPr="004B57F9">
        <w:rPr>
          <w:rFonts w:ascii="Arial" w:hAnsi="Arial" w:cs="Arial"/>
          <w:lang w:val="en-GB"/>
        </w:rPr>
        <w:t>: a brief summary of research in a particular field, with original findings and/or recommendations.</w:t>
      </w:r>
    </w:p>
    <w:p w:rsidR="004B57F9" w:rsidRPr="004B57F9" w:rsidRDefault="004B57F9" w:rsidP="004B57F9">
      <w:pPr>
        <w:pStyle w:val="a3"/>
        <w:rPr>
          <w:rFonts w:ascii="Arial" w:hAnsi="Arial" w:cs="Arial"/>
          <w:lang w:val="en-GB"/>
        </w:rPr>
      </w:pPr>
    </w:p>
    <w:p w:rsidR="004B57F9" w:rsidRPr="0097292E" w:rsidRDefault="004B57F9" w:rsidP="0097292E">
      <w:pPr>
        <w:rPr>
          <w:rFonts w:ascii="Arial" w:hAnsi="Arial" w:cs="Arial"/>
          <w:lang w:val="en-US"/>
        </w:rPr>
      </w:pPr>
    </w:p>
    <w:p w:rsidR="000F137E" w:rsidRPr="00EF7B8F" w:rsidRDefault="000F137E" w:rsidP="000F137E">
      <w:pPr>
        <w:rPr>
          <w:lang w:val="en-GB"/>
        </w:rPr>
      </w:pPr>
      <w:r w:rsidRPr="00EF7B8F">
        <w:rPr>
          <w:lang w:val="en-GB"/>
        </w:rPr>
        <w:t xml:space="preserve">- - - - - - </w:t>
      </w:r>
    </w:p>
    <w:p w:rsidR="000F137E" w:rsidRPr="00EF7B8F" w:rsidRDefault="000F137E" w:rsidP="000F137E">
      <w:pPr>
        <w:rPr>
          <w:lang w:val="en-GB"/>
        </w:rPr>
      </w:pPr>
      <w:r w:rsidRPr="00EF7B8F">
        <w:rPr>
          <w:lang w:val="en-GB"/>
        </w:rPr>
        <w:t>*</w:t>
      </w:r>
      <w:proofErr w:type="spellStart"/>
      <w:r w:rsidRPr="00EF7B8F">
        <w:rPr>
          <w:lang w:val="en-GB"/>
        </w:rPr>
        <w:t>IMRaD</w:t>
      </w:r>
      <w:proofErr w:type="spellEnd"/>
      <w:r w:rsidRPr="00EF7B8F">
        <w:rPr>
          <w:lang w:val="en-GB"/>
        </w:rPr>
        <w:t xml:space="preserve"> (</w:t>
      </w:r>
      <w:r w:rsidRPr="001F16DC">
        <w:rPr>
          <w:lang w:val="en-GB"/>
        </w:rPr>
        <w:t>Introduction</w:t>
      </w:r>
      <w:r w:rsidRPr="00EF7B8F">
        <w:rPr>
          <w:lang w:val="en-GB"/>
        </w:rPr>
        <w:t xml:space="preserve">, </w:t>
      </w:r>
      <w:r w:rsidRPr="001F16DC">
        <w:rPr>
          <w:lang w:val="en-GB"/>
        </w:rPr>
        <w:t>Methods</w:t>
      </w:r>
      <w:r w:rsidRPr="00EF7B8F">
        <w:rPr>
          <w:lang w:val="en-GB"/>
        </w:rPr>
        <w:t xml:space="preserve">, </w:t>
      </w:r>
      <w:r w:rsidRPr="001F16DC">
        <w:rPr>
          <w:lang w:val="en-GB"/>
        </w:rPr>
        <w:t>Results</w:t>
      </w:r>
      <w:r w:rsidRPr="00EF7B8F">
        <w:rPr>
          <w:lang w:val="en-GB"/>
        </w:rPr>
        <w:t xml:space="preserve">, </w:t>
      </w:r>
      <w:r w:rsidRPr="001F16DC">
        <w:rPr>
          <w:lang w:val="en-GB"/>
        </w:rPr>
        <w:t>and</w:t>
      </w:r>
      <w:r w:rsidRPr="00EF7B8F">
        <w:rPr>
          <w:lang w:val="en-GB"/>
        </w:rPr>
        <w:t xml:space="preserve"> </w:t>
      </w:r>
      <w:r w:rsidRPr="001F16DC">
        <w:rPr>
          <w:lang w:val="en-GB"/>
        </w:rPr>
        <w:t>Discussion</w:t>
      </w:r>
      <w:r w:rsidRPr="00EF7B8F">
        <w:rPr>
          <w:lang w:val="en-GB"/>
        </w:rPr>
        <w:t xml:space="preserve">) is a common organisation structure in scientific writing. The article ends in </w:t>
      </w:r>
      <w:r w:rsidRPr="00EF7B8F">
        <w:rPr>
          <w:i/>
          <w:lang w:val="en-GB"/>
        </w:rPr>
        <w:t>Conclusions</w:t>
      </w:r>
      <w:r w:rsidRPr="00EF7B8F">
        <w:rPr>
          <w:lang w:val="en-GB"/>
        </w:rPr>
        <w:t>, followed by additional information (e.g. data tables) if necessary.</w:t>
      </w:r>
    </w:p>
    <w:p w:rsidR="0097292E" w:rsidRDefault="0097292E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0F137E" w:rsidRPr="0097292E" w:rsidRDefault="000F137E" w:rsidP="0097292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7292E">
        <w:rPr>
          <w:rFonts w:ascii="Arial" w:hAnsi="Arial" w:cs="Arial"/>
          <w:b/>
          <w:sz w:val="28"/>
          <w:szCs w:val="28"/>
          <w:lang w:val="en-GB"/>
        </w:rPr>
        <w:lastRenderedPageBreak/>
        <w:t>Submission guideline</w:t>
      </w:r>
    </w:p>
    <w:p w:rsidR="007B38A7" w:rsidRDefault="007B38A7" w:rsidP="000F137E">
      <w:pPr>
        <w:rPr>
          <w:rFonts w:ascii="Arial" w:hAnsi="Arial" w:cs="Arial"/>
          <w:lang w:val="en-GB"/>
        </w:rPr>
      </w:pPr>
    </w:p>
    <w:p w:rsidR="000F137E" w:rsidRPr="00722867" w:rsidRDefault="000F137E" w:rsidP="000F137E">
      <w:pPr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The maximum article length is 60,000 characters.</w:t>
      </w:r>
    </w:p>
    <w:p w:rsidR="000F137E" w:rsidRPr="00722867" w:rsidRDefault="000F137E" w:rsidP="000F137E">
      <w:pPr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The following must be provided with the text:</w:t>
      </w:r>
    </w:p>
    <w:p w:rsidR="000F137E" w:rsidRPr="00722867" w:rsidRDefault="000F137E" w:rsidP="000F137E">
      <w:pPr>
        <w:pStyle w:val="a3"/>
        <w:numPr>
          <w:ilvl w:val="0"/>
          <w:numId w:val="3"/>
        </w:numPr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All data on graphs/figures, in a separate Excel file</w:t>
      </w:r>
    </w:p>
    <w:p w:rsidR="000F137E" w:rsidRPr="00722867" w:rsidRDefault="000F137E" w:rsidP="000F137E">
      <w:pPr>
        <w:pStyle w:val="a3"/>
        <w:numPr>
          <w:ilvl w:val="0"/>
          <w:numId w:val="3"/>
        </w:numPr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Information about the author(s):</w:t>
      </w:r>
    </w:p>
    <w:p w:rsidR="000F137E" w:rsidRPr="00722867" w:rsidRDefault="000F137E" w:rsidP="000F137E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Full name(s)</w:t>
      </w:r>
    </w:p>
    <w:p w:rsidR="000F137E" w:rsidRPr="00722867" w:rsidRDefault="000F137E" w:rsidP="000F137E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 xml:space="preserve">Academic title, primary place of employment and position </w:t>
      </w:r>
    </w:p>
    <w:p w:rsidR="000F137E" w:rsidRPr="00722867" w:rsidRDefault="000F137E" w:rsidP="000F137E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Email and telephone</w:t>
      </w:r>
    </w:p>
    <w:p w:rsidR="000F137E" w:rsidRPr="00722867" w:rsidRDefault="000F137E" w:rsidP="000F137E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Information about the sponsor organisation (if applicable)</w:t>
      </w:r>
    </w:p>
    <w:p w:rsidR="000F137E" w:rsidRPr="00722867" w:rsidRDefault="000F137E" w:rsidP="000F137E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Bibliography.</w:t>
      </w:r>
    </w:p>
    <w:p w:rsidR="000F137E" w:rsidRPr="00722867" w:rsidRDefault="000F137E" w:rsidP="000F137E">
      <w:pPr>
        <w:pStyle w:val="a3"/>
        <w:shd w:val="clear" w:color="auto" w:fill="FFFFFF"/>
        <w:rPr>
          <w:rFonts w:ascii="Arial" w:hAnsi="Arial" w:cs="Arial"/>
          <w:lang w:val="en-GB"/>
        </w:rPr>
      </w:pPr>
    </w:p>
    <w:p w:rsidR="00722867" w:rsidRDefault="000F137E" w:rsidP="000F137E">
      <w:pPr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 xml:space="preserve">The Editorial Board encourages </w:t>
      </w:r>
      <w:r w:rsidR="00722867">
        <w:rPr>
          <w:rFonts w:ascii="Arial" w:hAnsi="Arial" w:cs="Arial"/>
          <w:lang w:val="en-GB"/>
        </w:rPr>
        <w:t>r</w:t>
      </w:r>
      <w:r w:rsidRPr="00722867">
        <w:rPr>
          <w:rFonts w:ascii="Arial" w:hAnsi="Arial" w:cs="Arial"/>
          <w:lang w:val="en-GB"/>
        </w:rPr>
        <w:t>ep</w:t>
      </w:r>
      <w:r w:rsidR="00722867">
        <w:rPr>
          <w:rFonts w:ascii="Arial" w:hAnsi="Arial" w:cs="Arial"/>
          <w:lang w:val="en-GB"/>
        </w:rPr>
        <w:t xml:space="preserve">licability </w:t>
      </w:r>
      <w:r w:rsidRPr="00722867">
        <w:rPr>
          <w:rFonts w:ascii="Arial" w:hAnsi="Arial" w:cs="Arial"/>
          <w:lang w:val="en-GB"/>
        </w:rPr>
        <w:t>and welcomes authors’ submission of all data groupings and source codes used. Th</w:t>
      </w:r>
      <w:r w:rsidR="00722867">
        <w:rPr>
          <w:rFonts w:ascii="Arial" w:hAnsi="Arial" w:cs="Arial"/>
          <w:lang w:val="en-GB"/>
        </w:rPr>
        <w:t>ese data can be submitted as a raw data o</w:t>
      </w:r>
      <w:r w:rsidRPr="00722867">
        <w:rPr>
          <w:rFonts w:ascii="Arial" w:hAnsi="Arial" w:cs="Arial"/>
          <w:lang w:val="en-GB"/>
        </w:rPr>
        <w:t xml:space="preserve">r in the format used in </w:t>
      </w:r>
      <w:r w:rsidR="00722867">
        <w:rPr>
          <w:rFonts w:ascii="Arial" w:hAnsi="Arial" w:cs="Arial"/>
          <w:lang w:val="en-GB"/>
        </w:rPr>
        <w:t>the</w:t>
      </w:r>
      <w:r w:rsidRPr="00722867">
        <w:rPr>
          <w:rFonts w:ascii="Arial" w:hAnsi="Arial" w:cs="Arial"/>
          <w:lang w:val="en-GB"/>
        </w:rPr>
        <w:t xml:space="preserve"> research, with a description of the procedure for generating the data used from the initial data. Data are submitted in a separate file (Excel, </w:t>
      </w:r>
      <w:proofErr w:type="spellStart"/>
      <w:r w:rsidRPr="00722867">
        <w:rPr>
          <w:rFonts w:ascii="Arial" w:hAnsi="Arial" w:cs="Arial"/>
          <w:lang w:val="en-GB"/>
        </w:rPr>
        <w:t>MatLab</w:t>
      </w:r>
      <w:proofErr w:type="spellEnd"/>
      <w:r w:rsidRPr="00722867">
        <w:rPr>
          <w:rFonts w:ascii="Arial" w:hAnsi="Arial" w:cs="Arial"/>
          <w:lang w:val="en-GB"/>
        </w:rPr>
        <w:t>, .</w:t>
      </w:r>
      <w:proofErr w:type="spellStart"/>
      <w:r w:rsidRPr="00722867">
        <w:rPr>
          <w:rFonts w:ascii="Arial" w:hAnsi="Arial" w:cs="Arial"/>
          <w:lang w:val="en-GB"/>
        </w:rPr>
        <w:t>dta</w:t>
      </w:r>
      <w:proofErr w:type="spellEnd"/>
      <w:r w:rsidRPr="00722867">
        <w:rPr>
          <w:rFonts w:ascii="Arial" w:hAnsi="Arial" w:cs="Arial"/>
          <w:lang w:val="en-GB"/>
        </w:rPr>
        <w:t xml:space="preserve">, .csv). </w:t>
      </w:r>
    </w:p>
    <w:p w:rsidR="000F137E" w:rsidRPr="00722867" w:rsidRDefault="000F137E" w:rsidP="000F137E">
      <w:pPr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The rep</w:t>
      </w:r>
      <w:r w:rsidR="00722867">
        <w:rPr>
          <w:rFonts w:ascii="Arial" w:hAnsi="Arial" w:cs="Arial"/>
          <w:lang w:val="en-GB"/>
        </w:rPr>
        <w:t>licability</w:t>
      </w:r>
      <w:r w:rsidRPr="00722867">
        <w:rPr>
          <w:rFonts w:ascii="Arial" w:hAnsi="Arial" w:cs="Arial"/>
          <w:lang w:val="en-GB"/>
        </w:rPr>
        <w:t xml:space="preserve"> rule </w:t>
      </w:r>
      <w:r w:rsidR="00722867">
        <w:rPr>
          <w:rFonts w:ascii="Arial" w:hAnsi="Arial" w:cs="Arial"/>
          <w:lang w:val="en-GB"/>
        </w:rPr>
        <w:t>may</w:t>
      </w:r>
      <w:r w:rsidRPr="00722867">
        <w:rPr>
          <w:rFonts w:ascii="Arial" w:hAnsi="Arial" w:cs="Arial"/>
          <w:lang w:val="en-GB"/>
        </w:rPr>
        <w:t xml:space="preserve"> not apply to cases where disclosure of such data is limited (for example, by virtue of contractual terms, confidential nature of data, etc.).</w:t>
      </w:r>
    </w:p>
    <w:p w:rsidR="000F137E" w:rsidRPr="00EF7B8F" w:rsidRDefault="000F137E" w:rsidP="000F137E">
      <w:pPr>
        <w:rPr>
          <w:lang w:val="en-GB"/>
        </w:rPr>
      </w:pPr>
    </w:p>
    <w:p w:rsidR="000F137E" w:rsidRPr="00722867" w:rsidRDefault="000F137E" w:rsidP="000F137E">
      <w:pPr>
        <w:shd w:val="clear" w:color="auto" w:fill="FFFFFF"/>
        <w:spacing w:line="375" w:lineRule="atLeast"/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The first page of the text must contain:</w:t>
      </w:r>
    </w:p>
    <w:p w:rsidR="000F137E" w:rsidRPr="00722867" w:rsidRDefault="000F137E" w:rsidP="000F137E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Article title</w:t>
      </w:r>
    </w:p>
    <w:p w:rsidR="000F137E" w:rsidRPr="00722867" w:rsidRDefault="000F137E" w:rsidP="000F137E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Abstract (250-300 words);</w:t>
      </w:r>
    </w:p>
    <w:p w:rsidR="000F137E" w:rsidRPr="00722867" w:rsidRDefault="000F137E" w:rsidP="000F137E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Keyword list (no less than 6);</w:t>
      </w:r>
    </w:p>
    <w:p w:rsidR="000F137E" w:rsidRPr="00722867" w:rsidRDefault="000F137E" w:rsidP="000F137E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lang w:val="en-GB"/>
        </w:rPr>
      </w:pPr>
      <w:r w:rsidRPr="00722867">
        <w:rPr>
          <w:rFonts w:ascii="Arial" w:hAnsi="Arial" w:cs="Arial"/>
          <w:lang w:val="en-GB"/>
        </w:rPr>
        <w:t>JEL codes</w:t>
      </w:r>
    </w:p>
    <w:p w:rsidR="00722867" w:rsidRPr="000A4587" w:rsidRDefault="00722867" w:rsidP="000F137E">
      <w:pPr>
        <w:shd w:val="clear" w:color="auto" w:fill="FFFFFF"/>
        <w:rPr>
          <w:rFonts w:ascii="Arial" w:hAnsi="Arial" w:cs="Arial"/>
          <w:lang w:val="en-GB"/>
        </w:rPr>
      </w:pPr>
    </w:p>
    <w:p w:rsidR="000F137E" w:rsidRDefault="000F137E" w:rsidP="000F137E">
      <w:pPr>
        <w:shd w:val="clear" w:color="auto" w:fill="FFFFFF"/>
        <w:rPr>
          <w:rFonts w:ascii="Arial" w:hAnsi="Arial" w:cs="Arial"/>
          <w:lang w:val="en-GB"/>
        </w:rPr>
      </w:pPr>
      <w:r w:rsidRPr="000A4587">
        <w:rPr>
          <w:rFonts w:ascii="Arial" w:hAnsi="Arial" w:cs="Arial"/>
          <w:lang w:val="en-GB"/>
        </w:rPr>
        <w:t>An abstract for articles in English must be a self-sufficient text describing the objectives, importance and methods of the research study, and its key findings. The abstract must not reproduce the text of the article.</w:t>
      </w:r>
      <w:r w:rsidR="000A4587" w:rsidRPr="000A4587">
        <w:rPr>
          <w:rFonts w:ascii="Arial" w:hAnsi="Arial" w:cs="Arial"/>
          <w:lang w:val="en-GB"/>
        </w:rPr>
        <w:t xml:space="preserve"> </w:t>
      </w:r>
      <w:r w:rsidRPr="000A4587">
        <w:rPr>
          <w:rFonts w:ascii="Arial" w:hAnsi="Arial" w:cs="Arial"/>
          <w:lang w:val="en-GB"/>
        </w:rPr>
        <w:t>For a reference list, the Harvard Referencing System</w:t>
      </w:r>
      <w:r w:rsidR="000A4587" w:rsidRPr="000A4587">
        <w:rPr>
          <w:rStyle w:val="a7"/>
          <w:rFonts w:ascii="Arial" w:hAnsi="Arial" w:cs="Arial"/>
          <w:lang w:val="en-GB"/>
        </w:rPr>
        <w:footnoteReference w:customMarkFollows="1" w:id="1"/>
        <w:sym w:font="Symbol" w:char="F02A"/>
      </w:r>
      <w:r w:rsidRPr="000A4587">
        <w:rPr>
          <w:rFonts w:ascii="Arial" w:hAnsi="Arial" w:cs="Arial"/>
          <w:lang w:val="en-GB"/>
        </w:rPr>
        <w:t xml:space="preserve"> shall be used.</w:t>
      </w:r>
      <w:r w:rsidR="000A4587" w:rsidRPr="000A4587">
        <w:rPr>
          <w:rFonts w:ascii="Arial" w:hAnsi="Arial" w:cs="Arial"/>
          <w:lang w:val="en-GB"/>
        </w:rPr>
        <w:t xml:space="preserve"> </w:t>
      </w:r>
      <w:r w:rsidRPr="000A4587">
        <w:rPr>
          <w:rFonts w:ascii="Arial" w:hAnsi="Arial" w:cs="Arial"/>
          <w:lang w:val="en-GB"/>
        </w:rPr>
        <w:t>Intra-text citations</w:t>
      </w:r>
      <w:r w:rsidRPr="000A4587">
        <w:rPr>
          <w:rFonts w:ascii="Arial" w:hAnsi="Arial" w:cs="Arial"/>
          <w:b/>
          <w:lang w:val="en-GB"/>
        </w:rPr>
        <w:t xml:space="preserve"> </w:t>
      </w:r>
      <w:r w:rsidRPr="000A4587">
        <w:rPr>
          <w:rFonts w:ascii="Arial" w:hAnsi="Arial" w:cs="Arial"/>
          <w:lang w:val="en-GB"/>
        </w:rPr>
        <w:t xml:space="preserve">shall also meet the Harvard Referencing System standard. </w:t>
      </w:r>
    </w:p>
    <w:p w:rsidR="000A4587" w:rsidRPr="007B38A7" w:rsidRDefault="000A4587" w:rsidP="000F137E">
      <w:pPr>
        <w:shd w:val="clear" w:color="auto" w:fill="FFFFFF"/>
        <w:rPr>
          <w:rFonts w:ascii="Arial" w:hAnsi="Arial" w:cs="Arial"/>
          <w:b/>
          <w:color w:val="2E74B5" w:themeColor="accent1" w:themeShade="BF"/>
          <w:lang w:val="en-US"/>
        </w:rPr>
      </w:pPr>
      <w:r w:rsidRPr="0097292E">
        <w:rPr>
          <w:rFonts w:ascii="Arial" w:hAnsi="Arial" w:cs="Arial"/>
          <w:lang w:val="en-GB"/>
        </w:rPr>
        <w:t xml:space="preserve">Article are sent to: </w:t>
      </w:r>
      <w:r w:rsidRPr="0097292E">
        <w:rPr>
          <w:rFonts w:ascii="Arial" w:hAnsi="Arial" w:cs="Arial"/>
          <w:lang w:val="en-US"/>
        </w:rPr>
        <w:t xml:space="preserve"> </w:t>
      </w:r>
      <w:hyperlink r:id="rId9" w:history="1">
        <w:r w:rsidRPr="00187F41">
          <w:rPr>
            <w:rStyle w:val="a4"/>
            <w:rFonts w:ascii="Arial" w:hAnsi="Arial" w:cs="Arial"/>
            <w:lang w:val="en-US"/>
          </w:rPr>
          <w:t>ivanovans@cbr.ru</w:t>
        </w:r>
      </w:hyperlink>
    </w:p>
    <w:sectPr w:rsidR="000A4587" w:rsidRPr="007B38A7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14" w:rsidRDefault="00351C14" w:rsidP="000A4587">
      <w:pPr>
        <w:spacing w:after="0" w:line="240" w:lineRule="auto"/>
      </w:pPr>
      <w:r>
        <w:separator/>
      </w:r>
    </w:p>
  </w:endnote>
  <w:endnote w:type="continuationSeparator" w:id="0">
    <w:p w:rsidR="00351C14" w:rsidRDefault="00351C14" w:rsidP="000A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14" w:rsidRDefault="00351C14" w:rsidP="000A4587">
      <w:pPr>
        <w:spacing w:after="0" w:line="240" w:lineRule="auto"/>
      </w:pPr>
      <w:r>
        <w:separator/>
      </w:r>
    </w:p>
  </w:footnote>
  <w:footnote w:type="continuationSeparator" w:id="0">
    <w:p w:rsidR="00351C14" w:rsidRDefault="00351C14" w:rsidP="000A4587">
      <w:pPr>
        <w:spacing w:after="0" w:line="240" w:lineRule="auto"/>
      </w:pPr>
      <w:r>
        <w:continuationSeparator/>
      </w:r>
    </w:p>
  </w:footnote>
  <w:footnote w:id="1">
    <w:p w:rsidR="000A4587" w:rsidRPr="00EF7B8F" w:rsidRDefault="000A4587" w:rsidP="000A4587">
      <w:pPr>
        <w:rPr>
          <w:lang w:val="en-GB"/>
        </w:rPr>
      </w:pPr>
      <w:r w:rsidRPr="000A4587">
        <w:rPr>
          <w:rStyle w:val="a7"/>
        </w:rPr>
        <w:sym w:font="Symbol" w:char="F02A"/>
      </w:r>
      <w:r w:rsidRPr="00EF7B8F">
        <w:rPr>
          <w:lang w:val="en-GB"/>
        </w:rPr>
        <w:t xml:space="preserve">In accordance with </w:t>
      </w:r>
      <w:r w:rsidRPr="003A7A86">
        <w:rPr>
          <w:lang w:val="en-GB"/>
        </w:rPr>
        <w:t>Harvard</w:t>
      </w:r>
      <w:r w:rsidRPr="00EF7B8F">
        <w:rPr>
          <w:lang w:val="en-GB"/>
        </w:rPr>
        <w:t xml:space="preserve"> </w:t>
      </w:r>
      <w:r w:rsidRPr="003A7A86">
        <w:rPr>
          <w:lang w:val="en-GB"/>
        </w:rPr>
        <w:t>Referenc</w:t>
      </w:r>
      <w:r w:rsidRPr="00EF7B8F">
        <w:rPr>
          <w:lang w:val="en-GB"/>
        </w:rPr>
        <w:t xml:space="preserve">ing </w:t>
      </w:r>
      <w:r w:rsidRPr="003A7A86">
        <w:rPr>
          <w:lang w:val="en-GB"/>
        </w:rPr>
        <w:t>System</w:t>
      </w:r>
      <w:r w:rsidRPr="00EF7B8F">
        <w:rPr>
          <w:lang w:val="en-GB"/>
        </w:rPr>
        <w:t xml:space="preserve">, a reference to the source is given both in the body of the work and the reference list. An intra-text citation includes the name of the paper cited, its publication year and page number, if necessary. For example: (Hall, 2017) when generalising and enumerating, and (Hall 2017, р.320) for direct or indirect quotations. To cite several pages, double ‘p’ is used, e.g.: </w:t>
      </w:r>
      <w:r w:rsidRPr="003A7A86">
        <w:rPr>
          <w:i/>
          <w:lang w:val="en-GB"/>
        </w:rPr>
        <w:t>рр</w:t>
      </w:r>
      <w:r w:rsidRPr="00EF7B8F">
        <w:rPr>
          <w:i/>
          <w:lang w:val="en-GB"/>
        </w:rPr>
        <w:t>.326-327</w:t>
      </w:r>
      <w:r w:rsidRPr="00EF7B8F">
        <w:rPr>
          <w:lang w:val="en-GB"/>
        </w:rPr>
        <w:t>.</w:t>
      </w:r>
      <w:r>
        <w:rPr>
          <w:lang w:val="en-GB"/>
        </w:rPr>
        <w:t xml:space="preserve">  </w:t>
      </w:r>
      <w:r w:rsidRPr="00EF7B8F">
        <w:rPr>
          <w:lang w:val="en-GB"/>
        </w:rPr>
        <w:t>A reference list shall specify page numbers of the cited paper. For example: Hall, R. (2017). High Discounts and High Unemployment. American Economic Review, 107(2), pp. 305-330.</w:t>
      </w:r>
    </w:p>
    <w:p w:rsidR="000A4587" w:rsidRPr="000A4587" w:rsidRDefault="000A4587">
      <w:pPr>
        <w:pStyle w:val="a5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4F1D"/>
    <w:multiLevelType w:val="hybridMultilevel"/>
    <w:tmpl w:val="89CCB992"/>
    <w:lvl w:ilvl="0" w:tplc="5D141F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6F4744"/>
    <w:multiLevelType w:val="hybridMultilevel"/>
    <w:tmpl w:val="5C1AA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D4194"/>
    <w:multiLevelType w:val="hybridMultilevel"/>
    <w:tmpl w:val="35DE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162A"/>
    <w:multiLevelType w:val="hybridMultilevel"/>
    <w:tmpl w:val="BC3A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565FA"/>
    <w:multiLevelType w:val="hybridMultilevel"/>
    <w:tmpl w:val="9AC0540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441EAB"/>
    <w:multiLevelType w:val="hybridMultilevel"/>
    <w:tmpl w:val="C0E0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lvl w:ilvl="0" w:tplc="0419000F">
        <w:start w:val="1"/>
        <w:numFmt w:val="bullet"/>
        <w:lvlText w:val=""/>
        <w:lvlJc w:val="left"/>
        <w:pPr>
          <w:ind w:left="1191" w:hanging="340"/>
        </w:pPr>
        <w:rPr>
          <w:rFonts w:ascii="Symbol" w:hAnsi="Symbol" w:hint="default"/>
          <w:color w:val="auto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E"/>
    <w:rsid w:val="0000541E"/>
    <w:rsid w:val="0008645C"/>
    <w:rsid w:val="000A4587"/>
    <w:rsid w:val="000F137E"/>
    <w:rsid w:val="00351C14"/>
    <w:rsid w:val="003743CC"/>
    <w:rsid w:val="003B680E"/>
    <w:rsid w:val="003F4615"/>
    <w:rsid w:val="004B57F9"/>
    <w:rsid w:val="00514AD3"/>
    <w:rsid w:val="00644F6C"/>
    <w:rsid w:val="00722867"/>
    <w:rsid w:val="007B38A7"/>
    <w:rsid w:val="00904E3B"/>
    <w:rsid w:val="0097292E"/>
    <w:rsid w:val="00C63CE6"/>
    <w:rsid w:val="00D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7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92E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A458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4587"/>
    <w:rPr>
      <w:rFonts w:eastAsiaTheme="minorEastAsi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45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7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92E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A458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4587"/>
    <w:rPr>
      <w:rFonts w:eastAsiaTheme="minorEastAsi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4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ans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EBC1-7412-4C87-850F-FD8937EE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Ольга Валерьевна</dc:creator>
  <cp:lastModifiedBy>Oxana V. Trofimenko</cp:lastModifiedBy>
  <cp:revision>2</cp:revision>
  <dcterms:created xsi:type="dcterms:W3CDTF">2017-10-16T11:58:00Z</dcterms:created>
  <dcterms:modified xsi:type="dcterms:W3CDTF">2017-10-16T11:58:00Z</dcterms:modified>
</cp:coreProperties>
</file>