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B4" w:rsidRPr="0053588C" w:rsidRDefault="0053588C" w:rsidP="00F92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88C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 w:rsidR="00F06E7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оценке качества опроса </w:t>
      </w:r>
      <w:r w:rsidR="00EB2247" w:rsidRPr="0053588C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EB22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B3EFA">
        <w:rPr>
          <w:rFonts w:ascii="Times New Roman" w:hAnsi="Times New Roman" w:cs="Times New Roman"/>
          <w:b/>
          <w:sz w:val="28"/>
          <w:szCs w:val="28"/>
        </w:rPr>
        <w:t>банковское</w:t>
      </w:r>
      <w:r w:rsidR="002A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EFA">
        <w:rPr>
          <w:rFonts w:ascii="Times New Roman" w:hAnsi="Times New Roman" w:cs="Times New Roman"/>
          <w:b/>
          <w:sz w:val="28"/>
          <w:szCs w:val="28"/>
        </w:rPr>
        <w:t>розничное</w:t>
      </w:r>
      <w:r w:rsidR="00004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EFA">
        <w:rPr>
          <w:rFonts w:ascii="Times New Roman" w:hAnsi="Times New Roman" w:cs="Times New Roman"/>
          <w:b/>
          <w:sz w:val="28"/>
          <w:szCs w:val="28"/>
        </w:rPr>
        <w:t>кредитование)</w:t>
      </w:r>
    </w:p>
    <w:p w:rsidR="0053588C" w:rsidRPr="009A274A" w:rsidRDefault="002A3607" w:rsidP="00F9240C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9A274A">
        <w:rPr>
          <w:rFonts w:cs="Times New Roman"/>
          <w:b/>
          <w:sz w:val="28"/>
          <w:szCs w:val="28"/>
        </w:rPr>
        <w:t>Описание проблемы</w:t>
      </w:r>
    </w:p>
    <w:p w:rsidR="002A3607" w:rsidRDefault="00067895" w:rsidP="00067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России по Ростовской области (далее – Ростовское УФАС) на своем официальном сайте провело опрос потребителей. Результаты этого опроса</w:t>
      </w:r>
      <w:r w:rsidR="000D1924">
        <w:rPr>
          <w:rFonts w:ascii="Times New Roman" w:hAnsi="Times New Roman" w:cs="Times New Roman"/>
          <w:sz w:val="24"/>
          <w:szCs w:val="24"/>
        </w:rPr>
        <w:t xml:space="preserve"> (см. рис. 1)</w:t>
      </w:r>
      <w:r>
        <w:rPr>
          <w:rFonts w:ascii="Times New Roman" w:hAnsi="Times New Roman" w:cs="Times New Roman"/>
          <w:sz w:val="24"/>
          <w:szCs w:val="24"/>
        </w:rPr>
        <w:t xml:space="preserve"> могут в дальнейшем использоваться</w:t>
      </w:r>
      <w:r w:rsidR="00031E42">
        <w:rPr>
          <w:rFonts w:ascii="Times New Roman" w:hAnsi="Times New Roman" w:cs="Times New Roman"/>
          <w:sz w:val="24"/>
          <w:szCs w:val="24"/>
        </w:rPr>
        <w:t xml:space="preserve"> регулятором</w:t>
      </w:r>
      <w:r>
        <w:rPr>
          <w:rFonts w:ascii="Times New Roman" w:hAnsi="Times New Roman" w:cs="Times New Roman"/>
          <w:sz w:val="24"/>
          <w:szCs w:val="24"/>
        </w:rPr>
        <w:t xml:space="preserve"> для анализа условий банковского </w:t>
      </w:r>
      <w:r w:rsidR="00031E42">
        <w:rPr>
          <w:rFonts w:ascii="Times New Roman" w:hAnsi="Times New Roman" w:cs="Times New Roman"/>
          <w:sz w:val="24"/>
          <w:szCs w:val="24"/>
        </w:rPr>
        <w:t xml:space="preserve">розничного </w:t>
      </w:r>
      <w:r>
        <w:rPr>
          <w:rFonts w:ascii="Times New Roman" w:hAnsi="Times New Roman" w:cs="Times New Roman"/>
          <w:sz w:val="24"/>
          <w:szCs w:val="24"/>
        </w:rPr>
        <w:t>кредитования</w:t>
      </w:r>
      <w:r w:rsidR="000D1924">
        <w:rPr>
          <w:rFonts w:ascii="Times New Roman" w:hAnsi="Times New Roman" w:cs="Times New Roman"/>
          <w:sz w:val="24"/>
          <w:szCs w:val="24"/>
        </w:rPr>
        <w:t xml:space="preserve"> в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D1924">
        <w:rPr>
          <w:rFonts w:ascii="Times New Roman" w:hAnsi="Times New Roman" w:cs="Times New Roman"/>
          <w:sz w:val="24"/>
          <w:szCs w:val="24"/>
        </w:rPr>
        <w:t>в рамках возбужденных дел</w:t>
      </w:r>
      <w:r w:rsidR="00536A23">
        <w:rPr>
          <w:rFonts w:ascii="Times New Roman" w:hAnsi="Times New Roman" w:cs="Times New Roman"/>
          <w:sz w:val="24"/>
          <w:szCs w:val="24"/>
        </w:rPr>
        <w:t xml:space="preserve"> о нарушении антимонопольного законодательства</w:t>
      </w:r>
      <w:r w:rsidR="000D1924">
        <w:rPr>
          <w:rFonts w:ascii="Times New Roman" w:hAnsi="Times New Roman" w:cs="Times New Roman"/>
          <w:sz w:val="24"/>
          <w:szCs w:val="24"/>
        </w:rPr>
        <w:t>.</w:t>
      </w:r>
      <w:r w:rsidR="00396A0C">
        <w:rPr>
          <w:rFonts w:ascii="Times New Roman" w:hAnsi="Times New Roman" w:cs="Times New Roman"/>
          <w:sz w:val="24"/>
          <w:szCs w:val="24"/>
        </w:rPr>
        <w:t xml:space="preserve"> У одного из участников анализируемого рынка качество указанного опроса вызывает сомнение.</w:t>
      </w:r>
    </w:p>
    <w:p w:rsidR="00536A23" w:rsidRDefault="00536A23" w:rsidP="00536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A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B8446" wp14:editId="3D0E4846">
            <wp:extent cx="5940425" cy="3805575"/>
            <wp:effectExtent l="0" t="0" r="3175" b="4445"/>
            <wp:docPr id="266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9" t="27711" r="15295" b="1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6A23" w:rsidRPr="00EB2247" w:rsidRDefault="00536A23" w:rsidP="00536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247">
        <w:rPr>
          <w:rFonts w:ascii="Times New Roman" w:hAnsi="Times New Roman" w:cs="Times New Roman"/>
          <w:sz w:val="24"/>
          <w:szCs w:val="24"/>
        </w:rPr>
        <w:t>Рис.</w:t>
      </w:r>
      <w:r w:rsidR="00004EDF" w:rsidRPr="00EB2247">
        <w:rPr>
          <w:rFonts w:ascii="Times New Roman" w:hAnsi="Times New Roman" w:cs="Times New Roman"/>
          <w:sz w:val="24"/>
          <w:szCs w:val="24"/>
        </w:rPr>
        <w:t> </w:t>
      </w:r>
      <w:r w:rsidRPr="00EB2247">
        <w:rPr>
          <w:rFonts w:ascii="Times New Roman" w:hAnsi="Times New Roman" w:cs="Times New Roman"/>
          <w:sz w:val="24"/>
          <w:szCs w:val="24"/>
        </w:rPr>
        <w:t>1. Результаты опроса Ростовского УФАС</w:t>
      </w:r>
    </w:p>
    <w:p w:rsidR="00536A23" w:rsidRPr="00536A23" w:rsidRDefault="00536A23" w:rsidP="00536A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="00F9240C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ED4E6F">
          <w:rPr>
            <w:rStyle w:val="a3"/>
            <w:rFonts w:ascii="Times New Roman" w:hAnsi="Times New Roman" w:cs="Times New Roman"/>
            <w:sz w:val="24"/>
            <w:szCs w:val="24"/>
          </w:rPr>
          <w:t>http://rostov.fas.gov.ru/poll/6627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07.10.2019</w:t>
      </w:r>
      <w:r w:rsidR="00004E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9A274A" w:rsidRDefault="009A274A" w:rsidP="00536A2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A23" w:rsidRPr="009A274A" w:rsidRDefault="009A274A" w:rsidP="00536A23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9A274A">
        <w:rPr>
          <w:rFonts w:cs="Times New Roman"/>
          <w:b/>
          <w:sz w:val="28"/>
          <w:szCs w:val="28"/>
        </w:rPr>
        <w:t>Описание задания</w:t>
      </w:r>
    </w:p>
    <w:p w:rsidR="00536A23" w:rsidRDefault="00536A23" w:rsidP="00067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к Вам обратился один из участников возбужденного Ростовским УФАС дела о нарушении антимонопольного законодательства и поставил под сомнение качества данного опроса. Подготовьте критическую рецензию на полученные результаты.</w:t>
      </w:r>
    </w:p>
    <w:p w:rsidR="009A274A" w:rsidRDefault="009A274A" w:rsidP="009A2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4A" w:rsidRPr="009A274A" w:rsidRDefault="009A274A" w:rsidP="009A274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A274A">
        <w:rPr>
          <w:rFonts w:eastAsia="Times New Roman" w:cs="Times New Roman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9450B7" w:rsidRPr="005C18F3" w:rsidRDefault="009450B7" w:rsidP="005C18F3">
      <w:pPr>
        <w:pStyle w:val="a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8F3">
        <w:rPr>
          <w:rFonts w:ascii="Times New Roman" w:hAnsi="Times New Roman" w:cs="Times New Roman"/>
          <w:i/>
          <w:sz w:val="24"/>
          <w:szCs w:val="24"/>
        </w:rPr>
        <w:lastRenderedPageBreak/>
        <w:t>Девятко</w:t>
      </w:r>
      <w:proofErr w:type="spellEnd"/>
      <w:r w:rsidRPr="005C18F3">
        <w:rPr>
          <w:rFonts w:ascii="Times New Roman" w:hAnsi="Times New Roman" w:cs="Times New Roman"/>
          <w:i/>
          <w:sz w:val="24"/>
          <w:szCs w:val="24"/>
        </w:rPr>
        <w:t> И. Ф.</w:t>
      </w:r>
      <w:r w:rsidRPr="005C18F3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– 4-е изд. – М.: КДУ, 2006. С. 112-165; 199-232.</w:t>
      </w:r>
    </w:p>
    <w:p w:rsidR="00F9240C" w:rsidRPr="005C18F3" w:rsidRDefault="00F9240C" w:rsidP="005C18F3">
      <w:pPr>
        <w:pStyle w:val="a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F3">
        <w:rPr>
          <w:rFonts w:ascii="Times New Roman" w:hAnsi="Times New Roman" w:cs="Times New Roman"/>
          <w:i/>
          <w:sz w:val="24"/>
          <w:szCs w:val="24"/>
        </w:rPr>
        <w:t>Новиков В., Ходжаева Е.</w:t>
      </w:r>
      <w:r w:rsidRPr="005C18F3">
        <w:rPr>
          <w:rFonts w:ascii="Times New Roman" w:hAnsi="Times New Roman" w:cs="Times New Roman"/>
          <w:sz w:val="24"/>
          <w:szCs w:val="24"/>
        </w:rPr>
        <w:t xml:space="preserve"> Онлайн-игры чиновников // Ведомости. 2016. 08 сентября. </w:t>
      </w:r>
      <w:r w:rsidRPr="005C18F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C18F3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opinion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/2016/09/09/656282-</w:t>
        </w:r>
        <w:proofErr w:type="spellStart"/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onlain</w:t>
        </w:r>
        <w:proofErr w:type="spellEnd"/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igri</w:t>
        </w:r>
        <w:proofErr w:type="spellEnd"/>
        <w:r w:rsidRPr="005C18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C18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chinovnikov</w:t>
        </w:r>
        <w:proofErr w:type="spellEnd"/>
      </w:hyperlink>
      <w:r w:rsidRPr="005C18F3">
        <w:rPr>
          <w:rFonts w:ascii="Times New Roman" w:hAnsi="Times New Roman" w:cs="Times New Roman"/>
          <w:sz w:val="24"/>
          <w:szCs w:val="24"/>
        </w:rPr>
        <w:t xml:space="preserve"> (дата обращения: 07.10.2019 г.).</w:t>
      </w:r>
    </w:p>
    <w:p w:rsidR="00F9240C" w:rsidRPr="005C18F3" w:rsidRDefault="006E24D2" w:rsidP="005C18F3">
      <w:pPr>
        <w:pStyle w:val="a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8F3">
        <w:rPr>
          <w:rFonts w:ascii="Times New Roman" w:hAnsi="Times New Roman" w:cs="Times New Roman"/>
          <w:i/>
          <w:sz w:val="24"/>
          <w:szCs w:val="24"/>
        </w:rPr>
        <w:t>Сусоколов</w:t>
      </w:r>
      <w:proofErr w:type="spellEnd"/>
      <w:r w:rsidRPr="005C18F3">
        <w:rPr>
          <w:rFonts w:ascii="Times New Roman" w:hAnsi="Times New Roman" w:cs="Times New Roman"/>
          <w:i/>
          <w:sz w:val="24"/>
          <w:szCs w:val="24"/>
        </w:rPr>
        <w:t> А. А.</w:t>
      </w:r>
      <w:r w:rsidRPr="005C18F3">
        <w:rPr>
          <w:rFonts w:ascii="Times New Roman" w:hAnsi="Times New Roman" w:cs="Times New Roman"/>
          <w:sz w:val="24"/>
          <w:szCs w:val="24"/>
        </w:rPr>
        <w:t xml:space="preserve"> Технология социологического исследования. – М.: «Русская панорама», 2008. С. 178-242.</w:t>
      </w:r>
    </w:p>
    <w:p w:rsidR="00F06E73" w:rsidRDefault="00F06E73" w:rsidP="00F06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6E7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E73" w:rsidRPr="0053588C" w:rsidRDefault="00F06E73" w:rsidP="00F06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lastRenderedPageBreak/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разработке дизайна </w:t>
      </w:r>
      <w:r w:rsidR="00EB2247">
        <w:rPr>
          <w:rFonts w:ascii="Times New Roman" w:hAnsi="Times New Roman" w:cs="Times New Roman"/>
          <w:b/>
          <w:sz w:val="28"/>
          <w:szCs w:val="28"/>
        </w:rPr>
        <w:t>опроса (</w:t>
      </w:r>
      <w:r>
        <w:rPr>
          <w:rFonts w:ascii="Times New Roman" w:hAnsi="Times New Roman" w:cs="Times New Roman"/>
          <w:b/>
          <w:sz w:val="28"/>
          <w:szCs w:val="28"/>
        </w:rPr>
        <w:t>портовая инфраструктура)</w:t>
      </w:r>
    </w:p>
    <w:p w:rsidR="00F06E73" w:rsidRPr="009A274A" w:rsidRDefault="00F06E73" w:rsidP="00F06E73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9A274A">
        <w:rPr>
          <w:rFonts w:cs="Times New Roman"/>
          <w:b/>
          <w:sz w:val="28"/>
          <w:szCs w:val="28"/>
        </w:rPr>
        <w:t>Описание проблемы</w:t>
      </w:r>
    </w:p>
    <w:p w:rsidR="00F06E73" w:rsidRDefault="00F06E73" w:rsidP="00F0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</w:t>
      </w:r>
      <w:r w:rsidRPr="00101DD3">
        <w:rPr>
          <w:rFonts w:ascii="Times New Roman" w:hAnsi="Times New Roman" w:cs="Times New Roman"/>
          <w:sz w:val="24"/>
          <w:szCs w:val="24"/>
        </w:rPr>
        <w:t xml:space="preserve"> состояния конкуренции на товарном рынке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антимонопольной службы России по одному из субъектов Российской Федерации определило географические границы рынка портовой инфраструктуры как границы конкретного морского порта, что кажется этому морскому порту как узкое определение.</w:t>
      </w:r>
    </w:p>
    <w:p w:rsidR="00F06E73" w:rsidRPr="009A274A" w:rsidRDefault="009A274A" w:rsidP="00F06E73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9A274A">
        <w:rPr>
          <w:rFonts w:cs="Times New Roman"/>
          <w:b/>
          <w:sz w:val="28"/>
          <w:szCs w:val="28"/>
        </w:rPr>
        <w:t>Описание задания</w:t>
      </w:r>
    </w:p>
    <w:p w:rsidR="00F06E73" w:rsidRDefault="00F06E73" w:rsidP="00F0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к Вам обратился указанный морской порт. Подготовьте дизайн опроса, нацеленного на определение географических границ товарного рынка. Обоснуйте выбранный метод исследования (анкетный опрос и / или интервью), укажите основные критерии выборки респондентов, предложите структуру опросника (анкеты и / 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интервью).</w:t>
      </w:r>
    </w:p>
    <w:p w:rsidR="009A274A" w:rsidRDefault="009A274A" w:rsidP="009A2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4A" w:rsidRPr="009A274A" w:rsidRDefault="009A274A" w:rsidP="009A274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A274A">
        <w:rPr>
          <w:rFonts w:eastAsia="Times New Roman" w:cs="Times New Roman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F06E73" w:rsidRPr="009A274A" w:rsidRDefault="00F06E73" w:rsidP="009A274A">
      <w:pPr>
        <w:pStyle w:val="a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4A">
        <w:rPr>
          <w:rFonts w:ascii="Times New Roman" w:hAnsi="Times New Roman" w:cs="Times New Roman"/>
          <w:i/>
          <w:sz w:val="24"/>
          <w:szCs w:val="24"/>
        </w:rPr>
        <w:t>Девятко</w:t>
      </w:r>
      <w:proofErr w:type="spellEnd"/>
      <w:r w:rsidRPr="009A274A">
        <w:rPr>
          <w:rFonts w:ascii="Times New Roman" w:hAnsi="Times New Roman" w:cs="Times New Roman"/>
          <w:i/>
          <w:sz w:val="24"/>
          <w:szCs w:val="24"/>
        </w:rPr>
        <w:t> И. Ф.</w:t>
      </w:r>
      <w:r w:rsidRPr="009A274A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– 4-е изд. – М.: КДУ, 2006. С. 16-19; 112-165; 199-232.</w:t>
      </w:r>
    </w:p>
    <w:p w:rsidR="00F06E73" w:rsidRPr="009A274A" w:rsidRDefault="00F06E73" w:rsidP="009A274A">
      <w:pPr>
        <w:pStyle w:val="a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4A">
        <w:rPr>
          <w:rFonts w:ascii="Times New Roman" w:hAnsi="Times New Roman" w:cs="Times New Roman"/>
          <w:i/>
          <w:sz w:val="24"/>
          <w:szCs w:val="24"/>
        </w:rPr>
        <w:t>Сусоколов</w:t>
      </w:r>
      <w:proofErr w:type="spellEnd"/>
      <w:r w:rsidRPr="009A274A">
        <w:rPr>
          <w:rFonts w:ascii="Times New Roman" w:hAnsi="Times New Roman" w:cs="Times New Roman"/>
          <w:i/>
          <w:sz w:val="24"/>
          <w:szCs w:val="24"/>
        </w:rPr>
        <w:t> А. А.</w:t>
      </w:r>
      <w:r w:rsidRPr="009A274A">
        <w:rPr>
          <w:rFonts w:ascii="Times New Roman" w:hAnsi="Times New Roman" w:cs="Times New Roman"/>
          <w:sz w:val="24"/>
          <w:szCs w:val="24"/>
        </w:rPr>
        <w:t xml:space="preserve"> Технология социологического исследования. – М.: «Русская панорама», 2008. С. 111-153; 178-242.</w:t>
      </w:r>
    </w:p>
    <w:p w:rsidR="00F06E73" w:rsidRPr="009A274A" w:rsidRDefault="00F06E73" w:rsidP="009A274A">
      <w:pPr>
        <w:pStyle w:val="ad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4A">
        <w:rPr>
          <w:rFonts w:ascii="Times New Roman" w:hAnsi="Times New Roman" w:cs="Times New Roman"/>
          <w:i/>
          <w:sz w:val="24"/>
          <w:szCs w:val="24"/>
        </w:rPr>
        <w:t>Порядок проведения анализа состояния конкуренции на товарном рынке</w:t>
      </w:r>
      <w:r w:rsidRPr="009A274A">
        <w:rPr>
          <w:rFonts w:ascii="Times New Roman" w:hAnsi="Times New Roman" w:cs="Times New Roman"/>
          <w:sz w:val="24"/>
          <w:szCs w:val="24"/>
        </w:rPr>
        <w:t xml:space="preserve">, утвержденный Приказом ФАС России от 28 апреля 2010 г. N 220. </w:t>
      </w:r>
      <w:r w:rsidRPr="009A27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274A">
        <w:rPr>
          <w:rFonts w:ascii="Times New Roman" w:hAnsi="Times New Roman" w:cs="Times New Roman"/>
          <w:sz w:val="24"/>
          <w:szCs w:val="24"/>
        </w:rPr>
        <w:t>: </w:t>
      </w:r>
      <w:hyperlink r:id="rId11" w:history="1"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garant</w:t>
        </w:r>
        <w:proofErr w:type="spellEnd"/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/12177774/</w:t>
        </w:r>
      </w:hyperlink>
      <w:r w:rsidRPr="009A274A">
        <w:rPr>
          <w:rFonts w:ascii="Times New Roman" w:hAnsi="Times New Roman" w:cs="Times New Roman"/>
          <w:sz w:val="24"/>
          <w:szCs w:val="24"/>
        </w:rPr>
        <w:t xml:space="preserve"> (дата обращения: 07.10.2019 г.).</w:t>
      </w:r>
    </w:p>
    <w:p w:rsidR="00F06E73" w:rsidRDefault="00F06E73" w:rsidP="00F06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6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E73" w:rsidRPr="0053588C" w:rsidRDefault="00F06E73" w:rsidP="00F06E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lastRenderedPageBreak/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разработке дизайна </w:t>
      </w:r>
      <w:r w:rsidR="00EB2247">
        <w:rPr>
          <w:rFonts w:ascii="Times New Roman" w:hAnsi="Times New Roman" w:cs="Times New Roman"/>
          <w:b/>
          <w:sz w:val="28"/>
          <w:szCs w:val="28"/>
        </w:rPr>
        <w:t>опроса (</w:t>
      </w:r>
      <w:r>
        <w:rPr>
          <w:rFonts w:ascii="Times New Roman" w:hAnsi="Times New Roman" w:cs="Times New Roman"/>
          <w:b/>
          <w:sz w:val="28"/>
          <w:szCs w:val="28"/>
        </w:rPr>
        <w:t>рынок эквайринга)</w:t>
      </w:r>
    </w:p>
    <w:p w:rsidR="00F06E73" w:rsidRPr="005C18F3" w:rsidRDefault="00F06E73" w:rsidP="00F06E73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5C18F3">
        <w:rPr>
          <w:rFonts w:cs="Times New Roman"/>
          <w:b/>
          <w:sz w:val="28"/>
          <w:szCs w:val="28"/>
        </w:rPr>
        <w:t>Описание проблемы</w:t>
      </w:r>
    </w:p>
    <w:p w:rsidR="00F06E73" w:rsidRPr="00EB2247" w:rsidRDefault="00F06E73" w:rsidP="00F0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247">
        <w:rPr>
          <w:rFonts w:ascii="Times New Roman" w:hAnsi="Times New Roman" w:cs="Times New Roman"/>
          <w:sz w:val="24"/>
          <w:szCs w:val="24"/>
        </w:rPr>
        <w:t xml:space="preserve">В современной России все </w:t>
      </w:r>
      <w:proofErr w:type="spellStart"/>
      <w:r w:rsidRPr="00EB2247">
        <w:rPr>
          <w:rFonts w:ascii="Times New Roman" w:hAnsi="Times New Roman" w:cs="Times New Roman"/>
          <w:sz w:val="24"/>
          <w:szCs w:val="24"/>
        </w:rPr>
        <w:t>бóльшая</w:t>
      </w:r>
      <w:proofErr w:type="spellEnd"/>
      <w:r w:rsidRPr="00EB2247">
        <w:rPr>
          <w:rFonts w:ascii="Times New Roman" w:hAnsi="Times New Roman" w:cs="Times New Roman"/>
          <w:sz w:val="24"/>
          <w:szCs w:val="24"/>
        </w:rPr>
        <w:t xml:space="preserve"> доля платежей в розничной торговле осуществляется в безналичной форме. Однако продавцы регулярно жалуются на высокую ставку эквайринга, устанавливаемую крупнейшими международными платежными системами.</w:t>
      </w:r>
    </w:p>
    <w:p w:rsidR="00F06E73" w:rsidRPr="005C18F3" w:rsidRDefault="009A274A" w:rsidP="00F06E73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5C18F3">
        <w:rPr>
          <w:rFonts w:cs="Times New Roman"/>
          <w:b/>
          <w:sz w:val="28"/>
          <w:szCs w:val="28"/>
        </w:rPr>
        <w:t>Описание задания</w:t>
      </w:r>
    </w:p>
    <w:p w:rsidR="00F06E73" w:rsidRDefault="00F06E73" w:rsidP="00F0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к Вам обратилась ассоциация, которая представляет интересы торговых компаний, работающих на российских рынках. Подготовьте дизайн опроса, нацеленного на выявление механизма установления ставки эквайринга, в том числе в части соблюдения российского антимонопольного законодательства. Обоснуйте выбранный метод исследования (анкетный опрос и / или интервью), укажите основные критерии выборки респондентов, предложите структуру опросника (анкеты и / 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интервью).</w:t>
      </w:r>
    </w:p>
    <w:p w:rsidR="009A274A" w:rsidRDefault="009A274A" w:rsidP="009A27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4A" w:rsidRPr="005C18F3" w:rsidRDefault="009A274A" w:rsidP="009A274A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C18F3">
        <w:rPr>
          <w:rFonts w:eastAsia="Times New Roman" w:cs="Times New Roman"/>
          <w:b/>
          <w:sz w:val="28"/>
          <w:szCs w:val="28"/>
          <w:lang w:eastAsia="ru-RU"/>
        </w:rPr>
        <w:t>Рекомендуема</w:t>
      </w:r>
      <w:r w:rsidR="005C18F3">
        <w:rPr>
          <w:rFonts w:eastAsia="Times New Roman" w:cs="Times New Roman"/>
          <w:b/>
          <w:sz w:val="28"/>
          <w:szCs w:val="28"/>
          <w:lang w:eastAsia="ru-RU"/>
        </w:rPr>
        <w:t>я литература и источники данных</w:t>
      </w:r>
    </w:p>
    <w:p w:rsidR="00F06E73" w:rsidRPr="009A274A" w:rsidRDefault="00F06E73" w:rsidP="009A274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4A">
        <w:rPr>
          <w:rFonts w:ascii="Times New Roman" w:hAnsi="Times New Roman" w:cs="Times New Roman"/>
          <w:i/>
          <w:sz w:val="24"/>
          <w:szCs w:val="24"/>
        </w:rPr>
        <w:t>Девятко</w:t>
      </w:r>
      <w:proofErr w:type="spellEnd"/>
      <w:r w:rsidRPr="009A274A">
        <w:rPr>
          <w:rFonts w:ascii="Times New Roman" w:hAnsi="Times New Roman" w:cs="Times New Roman"/>
          <w:i/>
          <w:sz w:val="24"/>
          <w:szCs w:val="24"/>
        </w:rPr>
        <w:t> И. Ф.</w:t>
      </w:r>
      <w:r w:rsidRPr="009A274A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– 4-е изд. – М.: КДУ, 2006. С. 16-19; 227-232.</w:t>
      </w:r>
    </w:p>
    <w:p w:rsidR="00354372" w:rsidRPr="009A274A" w:rsidRDefault="00F06E73" w:rsidP="009A274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4A">
        <w:rPr>
          <w:rFonts w:ascii="Times New Roman" w:hAnsi="Times New Roman" w:cs="Times New Roman"/>
          <w:i/>
          <w:sz w:val="24"/>
          <w:szCs w:val="24"/>
        </w:rPr>
        <w:t>Квале</w:t>
      </w:r>
      <w:proofErr w:type="spellEnd"/>
      <w:r w:rsidRPr="009A274A">
        <w:rPr>
          <w:rFonts w:ascii="Times New Roman" w:hAnsi="Times New Roman" w:cs="Times New Roman"/>
          <w:i/>
          <w:sz w:val="24"/>
          <w:szCs w:val="24"/>
        </w:rPr>
        <w:t> С.</w:t>
      </w:r>
      <w:r w:rsidRPr="009A274A">
        <w:rPr>
          <w:rFonts w:ascii="Times New Roman" w:hAnsi="Times New Roman" w:cs="Times New Roman"/>
          <w:sz w:val="24"/>
          <w:szCs w:val="24"/>
        </w:rPr>
        <w:t xml:space="preserve"> Исследовательское интервью. – 2-е изд. – М.: Смысл, 2009. С. 13-22.</w:t>
      </w:r>
    </w:p>
    <w:p w:rsidR="009A274A" w:rsidRDefault="009A274A" w:rsidP="00D7696A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4A">
        <w:rPr>
          <w:rFonts w:ascii="Times New Roman" w:hAnsi="Times New Roman" w:cs="Times New Roman"/>
          <w:i/>
          <w:sz w:val="24"/>
          <w:szCs w:val="24"/>
        </w:rPr>
        <w:t>Порядок проведения анализа состояния конкуренции на товарном рынке</w:t>
      </w:r>
      <w:r w:rsidRPr="009A274A">
        <w:rPr>
          <w:rFonts w:ascii="Times New Roman" w:hAnsi="Times New Roman" w:cs="Times New Roman"/>
          <w:sz w:val="24"/>
          <w:szCs w:val="24"/>
        </w:rPr>
        <w:t xml:space="preserve">, утвержденный Приказом ФАС России от 28 апреля 2010 г. N 220. </w:t>
      </w:r>
      <w:r w:rsidRPr="009A274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A274A">
        <w:rPr>
          <w:rFonts w:ascii="Times New Roman" w:hAnsi="Times New Roman" w:cs="Times New Roman"/>
          <w:sz w:val="24"/>
          <w:szCs w:val="24"/>
        </w:rPr>
        <w:t>: </w:t>
      </w:r>
      <w:hyperlink r:id="rId12" w:history="1"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garant</w:t>
        </w:r>
        <w:proofErr w:type="spellEnd"/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27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A274A">
          <w:rPr>
            <w:rStyle w:val="a3"/>
            <w:rFonts w:ascii="Times New Roman" w:hAnsi="Times New Roman" w:cs="Times New Roman"/>
            <w:sz w:val="24"/>
            <w:szCs w:val="24"/>
          </w:rPr>
          <w:t>/12177774/</w:t>
        </w:r>
      </w:hyperlink>
      <w:r w:rsidRPr="009A274A">
        <w:rPr>
          <w:rFonts w:ascii="Times New Roman" w:hAnsi="Times New Roman" w:cs="Times New Roman"/>
          <w:sz w:val="24"/>
          <w:szCs w:val="24"/>
        </w:rPr>
        <w:t xml:space="preserve"> (</w:t>
      </w:r>
      <w:r w:rsidR="00EB2247">
        <w:rPr>
          <w:rFonts w:ascii="Times New Roman" w:hAnsi="Times New Roman" w:cs="Times New Roman"/>
          <w:sz w:val="24"/>
          <w:szCs w:val="24"/>
        </w:rPr>
        <w:t>дата обращения: 07.10.2019 г.)</w:t>
      </w:r>
    </w:p>
    <w:p w:rsidR="00EB2247" w:rsidRDefault="00EB2247" w:rsidP="00EB2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47" w:rsidRPr="00EB2247" w:rsidRDefault="00EB2247" w:rsidP="00EB2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B2247" w:rsidRPr="00EB2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96A" w:rsidRDefault="00D7696A" w:rsidP="00D7696A">
      <w:pPr>
        <w:rPr>
          <w:rFonts w:ascii="Times New Roman" w:hAnsi="Times New Roman" w:cs="Times New Roman"/>
          <w:sz w:val="28"/>
          <w:szCs w:val="28"/>
        </w:rPr>
      </w:pPr>
    </w:p>
    <w:p w:rsidR="00EB2247" w:rsidRPr="0053588C" w:rsidRDefault="00EB2247" w:rsidP="00EB22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разработке дизайна опроса (на примере рынка шин)</w:t>
      </w:r>
    </w:p>
    <w:p w:rsidR="00EB2247" w:rsidRPr="00EB2247" w:rsidRDefault="00EB2247" w:rsidP="00EB2247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EB2247">
        <w:rPr>
          <w:rFonts w:cs="Times New Roman"/>
          <w:b/>
          <w:sz w:val="28"/>
          <w:szCs w:val="28"/>
        </w:rPr>
        <w:t>Описание проблемы</w:t>
      </w:r>
    </w:p>
    <w:p w:rsidR="00EB2247" w:rsidRDefault="00EB2247" w:rsidP="00EB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5FF8">
        <w:rPr>
          <w:rFonts w:ascii="Times New Roman" w:hAnsi="Times New Roman" w:cs="Times New Roman"/>
          <w:sz w:val="24"/>
          <w:szCs w:val="24"/>
        </w:rPr>
        <w:t xml:space="preserve">ля осуществления крупного слияния на российском рынке его участникам необходимо предварительное согласие </w:t>
      </w:r>
      <w:r>
        <w:rPr>
          <w:rFonts w:ascii="Times New Roman" w:hAnsi="Times New Roman" w:cs="Times New Roman"/>
          <w:sz w:val="24"/>
          <w:szCs w:val="24"/>
        </w:rPr>
        <w:t>Федеральной антимонопольной службы (далее – ФАС)</w:t>
      </w:r>
      <w:r w:rsidRPr="004A5FF8">
        <w:rPr>
          <w:rFonts w:ascii="Times New Roman" w:hAnsi="Times New Roman" w:cs="Times New Roman"/>
          <w:sz w:val="24"/>
          <w:szCs w:val="24"/>
        </w:rPr>
        <w:t xml:space="preserve"> России, которое может выражаться либо в безусловном одобрении сделки, либо в выдаче предписания, содержащего условия ее совершения</w:t>
      </w:r>
      <w:r>
        <w:rPr>
          <w:rFonts w:ascii="Times New Roman" w:hAnsi="Times New Roman" w:cs="Times New Roman"/>
          <w:sz w:val="24"/>
          <w:szCs w:val="24"/>
        </w:rPr>
        <w:t>. Эффективность указанного инструмента экономической политики в каждом конкретном случае остается неизвестным.</w:t>
      </w:r>
    </w:p>
    <w:p w:rsidR="00EB2247" w:rsidRPr="00EB2247" w:rsidRDefault="00EB2247" w:rsidP="00EB2247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EB2247">
        <w:rPr>
          <w:rFonts w:cs="Times New Roman"/>
          <w:b/>
          <w:sz w:val="28"/>
          <w:szCs w:val="28"/>
        </w:rPr>
        <w:t>Описание задания</w:t>
      </w:r>
    </w:p>
    <w:p w:rsidR="00EB2247" w:rsidRDefault="00EB2247" w:rsidP="00EB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к Вам обратился один из участников российского рынка шин и поставил под сомнение эффективность предписания, которое выдала ФАС России на ходатайство ОАО «</w:t>
      </w:r>
      <w:r w:rsidRPr="004A5FF8">
        <w:rPr>
          <w:rFonts w:ascii="Times New Roman" w:hAnsi="Times New Roman" w:cs="Times New Roman"/>
          <w:sz w:val="24"/>
          <w:szCs w:val="24"/>
        </w:rPr>
        <w:t>СИБУР Холдинг</w:t>
      </w:r>
      <w:r>
        <w:rPr>
          <w:rFonts w:ascii="Times New Roman" w:hAnsi="Times New Roman" w:cs="Times New Roman"/>
          <w:sz w:val="24"/>
          <w:szCs w:val="24"/>
        </w:rPr>
        <w:t>» о приобретении прав, позволяющих определять условия осуществления ОАО «</w:t>
      </w:r>
      <w:r w:rsidRPr="004A5FF8">
        <w:rPr>
          <w:rFonts w:ascii="Times New Roman" w:hAnsi="Times New Roman" w:cs="Times New Roman"/>
          <w:sz w:val="24"/>
          <w:szCs w:val="24"/>
        </w:rPr>
        <w:t>Амтел-</w:t>
      </w:r>
      <w:proofErr w:type="spellStart"/>
      <w:r w:rsidRPr="004A5FF8">
        <w:rPr>
          <w:rFonts w:ascii="Times New Roman" w:hAnsi="Times New Roman" w:cs="Times New Roman"/>
          <w:sz w:val="24"/>
          <w:szCs w:val="24"/>
        </w:rPr>
        <w:t>Фредештайн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Подготовьте дизайн опроса, нацеленного на оценку эффективности указанного предписания. Обоснуйте выбранный метод исследования (анкетный опрос и / или интервью), укажите основные критерии выборки респондентов, предложите структуру опросника (анкеты и / 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интервью).</w:t>
      </w:r>
    </w:p>
    <w:p w:rsidR="00EB2247" w:rsidRDefault="00EB2247" w:rsidP="00EB2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247" w:rsidRPr="00EB2247" w:rsidRDefault="00EB2247" w:rsidP="00EB2247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B2247">
        <w:rPr>
          <w:rFonts w:eastAsia="Times New Roman" w:cs="Times New Roman"/>
          <w:b/>
          <w:sz w:val="28"/>
          <w:szCs w:val="28"/>
          <w:lang w:eastAsia="ru-RU"/>
        </w:rPr>
        <w:t>Рекомендуема</w:t>
      </w:r>
      <w:r>
        <w:rPr>
          <w:rFonts w:eastAsia="Times New Roman" w:cs="Times New Roman"/>
          <w:b/>
          <w:sz w:val="28"/>
          <w:szCs w:val="28"/>
          <w:lang w:eastAsia="ru-RU"/>
        </w:rPr>
        <w:t>я литература и источники данных</w:t>
      </w:r>
    </w:p>
    <w:p w:rsidR="00EB2247" w:rsidRPr="00EB2247" w:rsidRDefault="00EB2247" w:rsidP="00EB224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247">
        <w:rPr>
          <w:rFonts w:ascii="Times New Roman" w:hAnsi="Times New Roman" w:cs="Times New Roman"/>
          <w:i/>
          <w:sz w:val="24"/>
          <w:szCs w:val="24"/>
        </w:rPr>
        <w:t>Девятко</w:t>
      </w:r>
      <w:proofErr w:type="spellEnd"/>
      <w:r w:rsidRPr="00EB2247">
        <w:rPr>
          <w:rFonts w:ascii="Times New Roman" w:hAnsi="Times New Roman" w:cs="Times New Roman"/>
          <w:i/>
          <w:sz w:val="24"/>
          <w:szCs w:val="24"/>
        </w:rPr>
        <w:t> И. Ф.</w:t>
      </w:r>
      <w:r w:rsidRPr="00EB2247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– 4-е изд. – М.: КДУ, 2006. С. 16-19; 227-232.</w:t>
      </w:r>
    </w:p>
    <w:p w:rsidR="00EB2247" w:rsidRPr="00EB2247" w:rsidRDefault="00EB2247" w:rsidP="00EB224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247">
        <w:rPr>
          <w:rFonts w:ascii="Times New Roman" w:hAnsi="Times New Roman" w:cs="Times New Roman"/>
          <w:i/>
          <w:sz w:val="24"/>
          <w:szCs w:val="24"/>
        </w:rPr>
        <w:t>Квале</w:t>
      </w:r>
      <w:proofErr w:type="spellEnd"/>
      <w:r w:rsidRPr="00EB2247">
        <w:rPr>
          <w:rFonts w:ascii="Times New Roman" w:hAnsi="Times New Roman" w:cs="Times New Roman"/>
          <w:i/>
          <w:sz w:val="24"/>
          <w:szCs w:val="24"/>
        </w:rPr>
        <w:t> С.</w:t>
      </w:r>
      <w:r w:rsidRPr="00EB2247">
        <w:rPr>
          <w:rFonts w:ascii="Times New Roman" w:hAnsi="Times New Roman" w:cs="Times New Roman"/>
          <w:sz w:val="24"/>
          <w:szCs w:val="24"/>
        </w:rPr>
        <w:t xml:space="preserve"> Исследовательское интервью. – 2-е изд. – М.: Смысл, 2009. С. 13-22.</w:t>
      </w:r>
    </w:p>
    <w:p w:rsidR="00EB2247" w:rsidRPr="00EB2247" w:rsidRDefault="00EB2247" w:rsidP="00EB224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247">
        <w:rPr>
          <w:rFonts w:ascii="Times New Roman" w:hAnsi="Times New Roman" w:cs="Times New Roman"/>
          <w:i/>
          <w:sz w:val="24"/>
          <w:szCs w:val="24"/>
        </w:rPr>
        <w:t>Сушкевич</w:t>
      </w:r>
      <w:proofErr w:type="spellEnd"/>
      <w:r w:rsidRPr="00EB2247">
        <w:rPr>
          <w:rFonts w:ascii="Times New Roman" w:hAnsi="Times New Roman" w:cs="Times New Roman"/>
          <w:i/>
          <w:sz w:val="24"/>
          <w:szCs w:val="24"/>
        </w:rPr>
        <w:t xml:space="preserve"> А. Г., </w:t>
      </w:r>
      <w:proofErr w:type="spellStart"/>
      <w:r w:rsidRPr="00EB2247">
        <w:rPr>
          <w:rFonts w:ascii="Times New Roman" w:hAnsi="Times New Roman" w:cs="Times New Roman"/>
          <w:i/>
          <w:sz w:val="24"/>
          <w:szCs w:val="24"/>
        </w:rPr>
        <w:t>Авдашева</w:t>
      </w:r>
      <w:proofErr w:type="spellEnd"/>
      <w:r w:rsidRPr="00EB2247">
        <w:rPr>
          <w:rFonts w:ascii="Times New Roman" w:hAnsi="Times New Roman" w:cs="Times New Roman"/>
          <w:i/>
          <w:sz w:val="24"/>
          <w:szCs w:val="24"/>
        </w:rPr>
        <w:t> С. Б., Маркин М. Е.</w:t>
      </w:r>
      <w:r w:rsidRPr="00EB2247">
        <w:rPr>
          <w:rFonts w:ascii="Times New Roman" w:hAnsi="Times New Roman" w:cs="Times New Roman"/>
          <w:sz w:val="24"/>
          <w:szCs w:val="24"/>
        </w:rPr>
        <w:t xml:space="preserve"> Социологические методы в оценке эффектов государственной политики (на примере антимонопольного контроля слияний) // Современная конкуренция. 2013. № 2. С. 10-14.</w:t>
      </w:r>
    </w:p>
    <w:p w:rsidR="00EB2247" w:rsidRDefault="00EB2247" w:rsidP="0017050C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47">
        <w:rPr>
          <w:rFonts w:ascii="Times New Roman" w:hAnsi="Times New Roman" w:cs="Times New Roman"/>
          <w:i/>
          <w:sz w:val="24"/>
          <w:szCs w:val="24"/>
        </w:rPr>
        <w:t>Предписание ФАС России на ходатайство ОАО «СИБУР Холдинг» о приобретении прав, позволяющих определять условия осуществления ОАО «Амтел-</w:t>
      </w:r>
      <w:proofErr w:type="spellStart"/>
      <w:r w:rsidRPr="00EB2247">
        <w:rPr>
          <w:rFonts w:ascii="Times New Roman" w:hAnsi="Times New Roman" w:cs="Times New Roman"/>
          <w:i/>
          <w:sz w:val="24"/>
          <w:szCs w:val="24"/>
        </w:rPr>
        <w:t>Фредештайн</w:t>
      </w:r>
      <w:proofErr w:type="spellEnd"/>
      <w:r w:rsidRPr="00EB2247">
        <w:rPr>
          <w:rFonts w:ascii="Times New Roman" w:hAnsi="Times New Roman" w:cs="Times New Roman"/>
          <w:i/>
          <w:sz w:val="24"/>
          <w:szCs w:val="24"/>
        </w:rPr>
        <w:t>»</w:t>
      </w:r>
      <w:r w:rsidRPr="00EB2247">
        <w:rPr>
          <w:rFonts w:ascii="Times New Roman" w:hAnsi="Times New Roman" w:cs="Times New Roman"/>
          <w:sz w:val="24"/>
          <w:szCs w:val="24"/>
        </w:rPr>
        <w:t xml:space="preserve">. </w:t>
      </w:r>
      <w:r w:rsidRPr="00EB22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B2247">
        <w:rPr>
          <w:rFonts w:ascii="Times New Roman" w:hAnsi="Times New Roman" w:cs="Times New Roman"/>
          <w:sz w:val="24"/>
          <w:szCs w:val="24"/>
        </w:rPr>
        <w:t>: </w:t>
      </w:r>
      <w:hyperlink r:id="rId13" w:history="1">
        <w:r w:rsidRPr="00EB2247">
          <w:rPr>
            <w:rStyle w:val="a3"/>
            <w:rFonts w:ascii="Times New Roman" w:hAnsi="Times New Roman" w:cs="Times New Roman"/>
            <w:sz w:val="24"/>
            <w:szCs w:val="24"/>
          </w:rPr>
          <w:t>http://fas.gov.ru/documents/573950</w:t>
        </w:r>
      </w:hyperlink>
      <w:r w:rsidRPr="00EB2247">
        <w:rPr>
          <w:rFonts w:ascii="Times New Roman" w:hAnsi="Times New Roman" w:cs="Times New Roman"/>
          <w:sz w:val="24"/>
          <w:szCs w:val="24"/>
        </w:rPr>
        <w:t xml:space="preserve"> (дата обращения: 08.11.2019 г.).</w:t>
      </w:r>
    </w:p>
    <w:p w:rsidR="0017050C" w:rsidRDefault="0017050C" w:rsidP="00170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7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50C" w:rsidRPr="0017050C" w:rsidRDefault="0017050C" w:rsidP="00170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7050C" w:rsidRPr="0017050C" w:rsidSect="001705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50C" w:rsidRDefault="0017050C" w:rsidP="0017050C">
      <w:pPr>
        <w:rPr>
          <w:rFonts w:ascii="Times New Roman" w:hAnsi="Times New Roman" w:cs="Times New Roman"/>
          <w:sz w:val="28"/>
          <w:szCs w:val="28"/>
        </w:rPr>
        <w:sectPr w:rsidR="0017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Default="008F39F2" w:rsidP="008F39F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  <w:sectPr w:rsidR="008F39F2" w:rsidSect="001705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Pr="0053588C" w:rsidRDefault="008F39F2" w:rsidP="008F39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разработке дизайна опроса (на примере рынка соков)</w:t>
      </w:r>
    </w:p>
    <w:p w:rsidR="008F39F2" w:rsidRPr="00A22D96" w:rsidRDefault="008F39F2" w:rsidP="008F39F2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A22D96">
        <w:rPr>
          <w:rFonts w:cs="Times New Roman"/>
          <w:b/>
          <w:sz w:val="28"/>
          <w:szCs w:val="28"/>
        </w:rPr>
        <w:t>Описание проблемы</w:t>
      </w:r>
    </w:p>
    <w:p w:rsidR="008F39F2" w:rsidRDefault="008F39F2" w:rsidP="008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</w:t>
      </w:r>
      <w:r w:rsidRPr="00101DD3">
        <w:rPr>
          <w:rFonts w:ascii="Times New Roman" w:hAnsi="Times New Roman" w:cs="Times New Roman"/>
          <w:sz w:val="24"/>
          <w:szCs w:val="24"/>
        </w:rPr>
        <w:t xml:space="preserve"> состояния конкуренции на товарном рынке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антимонопольная служба России определила продуктовые границы рынка как рынок соков, что кажется одному из его участников узким определением.</w:t>
      </w:r>
    </w:p>
    <w:p w:rsidR="008F39F2" w:rsidRPr="00A22D96" w:rsidRDefault="008F39F2" w:rsidP="008F39F2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A22D96">
        <w:rPr>
          <w:rFonts w:cs="Times New Roman"/>
          <w:b/>
          <w:sz w:val="28"/>
          <w:szCs w:val="28"/>
        </w:rPr>
        <w:t>Описание задание</w:t>
      </w:r>
    </w:p>
    <w:p w:rsidR="008F39F2" w:rsidRDefault="008F39F2" w:rsidP="008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 к Вам обратился один из участников анализируемого рынка. Подготовьте дизайн опроса, нацеленного на определение продуктовых границ товарного рынка. Обоснуйте выбранный метод исследования (анкетный опрос и / или интервью), укажите основные критерии выборки респондентов, предложите структуру опросника (анкеты и / 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интервью).</w:t>
      </w:r>
    </w:p>
    <w:p w:rsidR="008F39F2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F2" w:rsidRPr="00B8160E" w:rsidRDefault="008F39F2" w:rsidP="008F39F2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8160E">
        <w:rPr>
          <w:rFonts w:eastAsia="Times New Roman" w:cs="Times New Roman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8F39F2" w:rsidRPr="00B8160E" w:rsidRDefault="008F39F2" w:rsidP="008F39F2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60E">
        <w:rPr>
          <w:rFonts w:ascii="Times New Roman" w:hAnsi="Times New Roman" w:cs="Times New Roman"/>
          <w:i/>
          <w:sz w:val="24"/>
          <w:szCs w:val="24"/>
        </w:rPr>
        <w:t>Девятко</w:t>
      </w:r>
      <w:proofErr w:type="spellEnd"/>
      <w:r w:rsidRPr="00B8160E">
        <w:rPr>
          <w:rFonts w:ascii="Times New Roman" w:hAnsi="Times New Roman" w:cs="Times New Roman"/>
          <w:i/>
          <w:sz w:val="24"/>
          <w:szCs w:val="24"/>
        </w:rPr>
        <w:t> И. Ф.</w:t>
      </w:r>
      <w:r w:rsidRPr="00B8160E">
        <w:rPr>
          <w:rFonts w:ascii="Times New Roman" w:hAnsi="Times New Roman" w:cs="Times New Roman"/>
          <w:sz w:val="24"/>
          <w:szCs w:val="24"/>
        </w:rPr>
        <w:t xml:space="preserve"> Методы социологического исследования. – 4-е изд. – М.: КДУ, 2006. С. 16-19; 112-165; 199-232.</w:t>
      </w:r>
    </w:p>
    <w:p w:rsidR="008F39F2" w:rsidRPr="00B8160E" w:rsidRDefault="008F39F2" w:rsidP="008F39F2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60E">
        <w:rPr>
          <w:rFonts w:ascii="Times New Roman" w:hAnsi="Times New Roman" w:cs="Times New Roman"/>
          <w:i/>
          <w:sz w:val="24"/>
          <w:szCs w:val="24"/>
        </w:rPr>
        <w:t>Сусоколов</w:t>
      </w:r>
      <w:proofErr w:type="spellEnd"/>
      <w:r w:rsidRPr="00B8160E">
        <w:rPr>
          <w:rFonts w:ascii="Times New Roman" w:hAnsi="Times New Roman" w:cs="Times New Roman"/>
          <w:i/>
          <w:sz w:val="24"/>
          <w:szCs w:val="24"/>
        </w:rPr>
        <w:t> А. А.</w:t>
      </w:r>
      <w:r w:rsidRPr="00B8160E">
        <w:rPr>
          <w:rFonts w:ascii="Times New Roman" w:hAnsi="Times New Roman" w:cs="Times New Roman"/>
          <w:sz w:val="24"/>
          <w:szCs w:val="24"/>
        </w:rPr>
        <w:t xml:space="preserve"> Технология социологического исследования. – М.: «Русская панорама», 2008. С. 111-242.</w:t>
      </w:r>
    </w:p>
    <w:p w:rsidR="008F39F2" w:rsidRPr="00B8160E" w:rsidRDefault="008F39F2" w:rsidP="008F39F2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i/>
          <w:sz w:val="24"/>
          <w:szCs w:val="24"/>
        </w:rPr>
        <w:t>Порядок проведения анализа состояния конкуренции на товарном рынке</w:t>
      </w:r>
      <w:r w:rsidRPr="00B8160E">
        <w:rPr>
          <w:rFonts w:ascii="Times New Roman" w:hAnsi="Times New Roman" w:cs="Times New Roman"/>
          <w:sz w:val="24"/>
          <w:szCs w:val="24"/>
        </w:rPr>
        <w:t xml:space="preserve">, утвержденный Приказом ФАС России от 28 апреля 2010 г. N 220. </w:t>
      </w:r>
      <w:r w:rsidRPr="00B8160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8160E">
        <w:rPr>
          <w:rFonts w:ascii="Times New Roman" w:hAnsi="Times New Roman" w:cs="Times New Roman"/>
          <w:sz w:val="24"/>
          <w:szCs w:val="24"/>
        </w:rPr>
        <w:t>: </w:t>
      </w:r>
      <w:hyperlink r:id="rId14" w:history="1">
        <w:r w:rsidRPr="00B81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816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81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base</w:t>
        </w:r>
        <w:r w:rsidRPr="00B816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1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garant</w:t>
        </w:r>
        <w:proofErr w:type="spellEnd"/>
        <w:r w:rsidRPr="00B816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1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8160E">
          <w:rPr>
            <w:rStyle w:val="a3"/>
            <w:rFonts w:ascii="Times New Roman" w:hAnsi="Times New Roman" w:cs="Times New Roman"/>
            <w:sz w:val="24"/>
            <w:szCs w:val="24"/>
          </w:rPr>
          <w:t>/12177774/</w:t>
        </w:r>
      </w:hyperlink>
      <w:r w:rsidRPr="00B8160E">
        <w:rPr>
          <w:rFonts w:ascii="Times New Roman" w:hAnsi="Times New Roman" w:cs="Times New Roman"/>
          <w:sz w:val="24"/>
          <w:szCs w:val="24"/>
        </w:rPr>
        <w:t xml:space="preserve"> (дата обращения: 07.10.2019 г.).</w:t>
      </w:r>
    </w:p>
    <w:p w:rsidR="008F39F2" w:rsidRDefault="008F39F2" w:rsidP="008F39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sectPr w:rsidR="008F39F2" w:rsidSect="008F39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Pr="00225A7B" w:rsidRDefault="008F39F2" w:rsidP="008F39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225A7B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lastRenderedPageBreak/>
        <w:t xml:space="preserve">Проектное задание № 6 по определению продуктовых </w:t>
      </w:r>
    </w:p>
    <w:p w:rsidR="008F39F2" w:rsidRPr="00225A7B" w:rsidRDefault="008F39F2" w:rsidP="008F39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225A7B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границ рынка</w:t>
      </w:r>
    </w:p>
    <w:p w:rsidR="008F39F2" w:rsidRPr="002E0673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B8160E" w:rsidRDefault="008F39F2" w:rsidP="008F39F2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225A7B">
        <w:rPr>
          <w:rFonts w:eastAsia="Times New Roman" w:cs="Arial"/>
          <w:b/>
          <w:bCs/>
          <w:kern w:val="32"/>
          <w:sz w:val="28"/>
          <w:szCs w:val="28"/>
          <w:lang w:eastAsia="ru-RU"/>
        </w:rPr>
        <w:t xml:space="preserve">Описание проблемы </w:t>
      </w:r>
    </w:p>
    <w:p w:rsidR="008F39F2" w:rsidRPr="002E0673" w:rsidRDefault="008F39F2" w:rsidP="008F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анализа рынка к Вам обратилась компания-владелец одного из зерновых терминалов в морском порту.  Дело в том, что перевозка зерна морем – это основной способ его поставки на большие расстояния.</w:t>
      </w:r>
      <w:r w:rsidRPr="002E0673">
        <w:rPr>
          <w:sz w:val="24"/>
          <w:szCs w:val="24"/>
        </w:rPr>
        <w:t xml:space="preserve"> </w:t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таких терминалах осуществляют перевалку зерна на морские суда. В целом, затраты на транспортировку занимают существенную долю в стоимости зерна.</w:t>
      </w:r>
    </w:p>
    <w:p w:rsidR="008F39F2" w:rsidRPr="002E0673" w:rsidRDefault="008F39F2" w:rsidP="008F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225A7B" w:rsidRDefault="008F39F2" w:rsidP="008F39F2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25A7B">
        <w:rPr>
          <w:rFonts w:eastAsia="Times New Roman" w:cs="Times New Roman"/>
          <w:b/>
          <w:sz w:val="28"/>
          <w:szCs w:val="28"/>
          <w:lang w:eastAsia="ru-RU"/>
        </w:rPr>
        <w:t>Описание задания</w:t>
      </w: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продуктовые границы рынка, на котором взаимодействует компания, 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санная в кейсе, предполагая</w:t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9F2" w:rsidRPr="002E0673" w:rsidRDefault="008F39F2" w:rsidP="008F39F2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компании заказчика исследования располагается в глубоководном морском порту Азово-Черноморского бассейна. В глубоководные морские порты могут заходить не только мелко-, но и крупнотоннажные суда.</w:t>
      </w:r>
    </w:p>
    <w:p w:rsidR="008F39F2" w:rsidRPr="002E0673" w:rsidRDefault="008F39F2" w:rsidP="008F39F2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границы рынка: Азово-Черноморский бассейн России.</w:t>
      </w:r>
    </w:p>
    <w:p w:rsidR="008F39F2" w:rsidRPr="002E0673" w:rsidRDefault="008F39F2" w:rsidP="008F39F2">
      <w:pPr>
        <w:spacing w:after="0" w:line="360" w:lineRule="auto"/>
        <w:jc w:val="both"/>
        <w:rPr>
          <w:sz w:val="24"/>
          <w:szCs w:val="24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продуктовых границ воспользуйтесь тестом гипотетическог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монополиста, используя</w:t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220 ФАС России</w:t>
      </w:r>
      <w:r w:rsidRPr="002E0673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673">
        <w:rPr>
          <w:sz w:val="24"/>
          <w:szCs w:val="24"/>
        </w:rPr>
        <w:t xml:space="preserve"> </w:t>
      </w: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 гипотетического монополиста предполагает, что продуктовые границы рынка определены верно, если контрагент не может заменить один товар другим, при повышении цены на 10%. В этом случае определение границ рынка осуществляется для того участника сделки, который обладает меньшими возможностями переключения на альтернативного контрагента. В данном случае, таким участником рынка выступает покупатель услуг (в границах Азово-Черноморского бассейна РФ).</w:t>
      </w: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 грузооборот зернового терминала заказчика заданным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для сведения), оцените его рыночную долю в зависимости от определённых продуктовых границ рынка и выбранного периода времени. Оцените рыночную долю участника также для случая, когда продуктовые границы </w:t>
      </w:r>
      <w:proofErr w:type="gram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 иначе</w:t>
      </w:r>
      <w:proofErr w:type="gram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Изучите конкуренцию между участниками рынка, положение компании-заказчика. Занесите результаты </w:t>
      </w:r>
      <w:proofErr w:type="gram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 в</w:t>
      </w:r>
      <w:proofErr w:type="gram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2. Поясните полученные численные значения.</w:t>
      </w:r>
    </w:p>
    <w:p w:rsidR="008F39F2" w:rsidRPr="002E0673" w:rsidRDefault="008F39F2" w:rsidP="008F3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Таблица 1 (для сведения). Динамика объёмов перевалки </w:t>
      </w:r>
      <w:proofErr w:type="gramStart"/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зерна  на</w:t>
      </w:r>
      <w:proofErr w:type="gramEnd"/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терминале компании заказчика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25"/>
        <w:gridCol w:w="715"/>
        <w:gridCol w:w="71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F39F2" w:rsidRPr="002E0673" w:rsidTr="008F39F2">
        <w:tc>
          <w:tcPr>
            <w:tcW w:w="1625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5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1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F39F2" w:rsidRPr="002E0673" w:rsidTr="008F39F2">
        <w:tc>
          <w:tcPr>
            <w:tcW w:w="1625" w:type="dxa"/>
          </w:tcPr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Грузооборот зерна </w:t>
            </w:r>
          </w:p>
          <w:p w:rsidR="008F39F2" w:rsidRPr="002E0673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тонн)</w:t>
            </w:r>
          </w:p>
        </w:tc>
        <w:tc>
          <w:tcPr>
            <w:tcW w:w="715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5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21" w:type="dxa"/>
            <w:vAlign w:val="center"/>
          </w:tcPr>
          <w:p w:rsidR="008F39F2" w:rsidRPr="002E0673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выполненному заданию:</w:t>
      </w:r>
    </w:p>
    <w:p w:rsidR="008F39F2" w:rsidRPr="002E0673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ли на рассматриваемом рынке признаки доминирования в соответствии с ст.5 Закона «О защите конкуренции». Обоснуйте свой ответ. Проанализируйте полноту и надежность использованных источников информации, возможные неточности. </w:t>
      </w:r>
    </w:p>
    <w:p w:rsidR="008F39F2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 Доля участника рынка.</w:t>
      </w:r>
    </w:p>
    <w:tbl>
      <w:tblPr>
        <w:tblStyle w:val="ae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3369"/>
        <w:gridCol w:w="975"/>
        <w:gridCol w:w="867"/>
        <w:gridCol w:w="976"/>
        <w:gridCol w:w="1276"/>
      </w:tblGrid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 период</w:t>
            </w:r>
          </w:p>
        </w:tc>
      </w:tr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терминала</w:t>
            </w:r>
          </w:p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тонн)</w:t>
            </w:r>
          </w:p>
        </w:tc>
        <w:tc>
          <w:tcPr>
            <w:tcW w:w="975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рынка (</w:t>
            </w:r>
            <w:proofErr w:type="spellStart"/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млн.тонн</w:t>
            </w:r>
            <w:proofErr w:type="spellEnd"/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участника рынка </w:t>
            </w:r>
          </w:p>
        </w:tc>
        <w:tc>
          <w:tcPr>
            <w:tcW w:w="975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рынка, когда границы проведены иначе (</w:t>
            </w:r>
            <w:proofErr w:type="spellStart"/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млн.тонн</w:t>
            </w:r>
            <w:proofErr w:type="spellEnd"/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39F2" w:rsidRPr="002E0673" w:rsidTr="008F39F2">
        <w:tc>
          <w:tcPr>
            <w:tcW w:w="3369" w:type="dxa"/>
          </w:tcPr>
          <w:p w:rsidR="008F39F2" w:rsidRPr="002E0673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участника рынка, когда границы рынка проведены иначе</w:t>
            </w:r>
          </w:p>
        </w:tc>
        <w:tc>
          <w:tcPr>
            <w:tcW w:w="975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39F2" w:rsidRPr="002E0673" w:rsidRDefault="008F39F2" w:rsidP="008F39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2E0673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B8160E" w:rsidRDefault="008F39F2" w:rsidP="008F39F2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60E">
        <w:rPr>
          <w:rFonts w:eastAsia="Times New Roman" w:cs="Times New Roman"/>
          <w:b/>
          <w:sz w:val="28"/>
          <w:szCs w:val="28"/>
          <w:lang w:eastAsia="ru-RU"/>
        </w:rPr>
        <w:t>Рекомендуема</w:t>
      </w:r>
      <w:r>
        <w:rPr>
          <w:rFonts w:eastAsia="Times New Roman" w:cs="Times New Roman"/>
          <w:b/>
          <w:sz w:val="28"/>
          <w:szCs w:val="28"/>
          <w:lang w:eastAsia="ru-RU"/>
        </w:rPr>
        <w:t>я литература и источники данных</w:t>
      </w:r>
    </w:p>
    <w:p w:rsidR="008F39F2" w:rsidRPr="00ED2116" w:rsidRDefault="008F39F2" w:rsidP="008F39F2">
      <w:pPr>
        <w:numPr>
          <w:ilvl w:val="0"/>
          <w:numId w:val="1"/>
        </w:numPr>
        <w:spacing w:after="0" w:line="360" w:lineRule="auto"/>
        <w:ind w:left="164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Росстата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https://www.gks.ru</w:t>
        </w:r>
      </w:hyperlink>
      <w:r w:rsidRPr="008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ED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left="164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Министерства сельского хозяйства РФ;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left="164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анализа рынков услуг по перевалке грузов, проведенного в разное время Федеральной антимонопольной службой и её территориальными управлениями;</w:t>
      </w:r>
      <w:r w:rsidRPr="002E06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транспорта РФ Игорь Левитин выступил на заседании Правительства РФ с докладом на тему «О комплексе мер, направленных на развитие морских портов и портовых особых экономических зон».   Опубликовано 20 Сентября 2007. </w:t>
      </w:r>
      <w:hyperlink r:id="rId16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mintrans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center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interviews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/19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Фрахтовые отчеты. </w:t>
      </w:r>
      <w:proofErr w:type="spell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Glogos</w:t>
      </w:r>
      <w:proofErr w:type="spell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7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http://glogos.net/frahtovye-otchety/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за вывоз: комплексная ставка по перевалке зерна в России вдвое выше среднемировых уровней. Журнал «</w:t>
      </w:r>
      <w:proofErr w:type="spell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Агроинвестор</w:t>
      </w:r>
      <w:proofErr w:type="spell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3 марта 2017. </w:t>
      </w:r>
      <w:hyperlink r:id="rId18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agroinvestor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/26258-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plata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vyvoz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экспорта зерновых требует развития инфраструктуры. Издательство «Морские вести России». Морские порты №6 (2018). </w:t>
      </w:r>
      <w:hyperlink r:id="rId19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morvesti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tems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detail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=75356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зерновых терминалов Азово-Черноморского бассейна РФ. ООО «</w:t>
      </w:r>
      <w:proofErr w:type="spell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Морстройтехнология</w:t>
      </w:r>
      <w:proofErr w:type="spell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10.06.2015. </w:t>
      </w:r>
      <w:hyperlink r:id="rId20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morproekt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attachments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/168/3-2%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0%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BF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зерна морем: обзор логистического сегмента. Агробизнес. </w:t>
      </w:r>
      <w:hyperlink r:id="rId21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agbz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articles</w:t>
        </w:r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perevozka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zerna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morem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obzor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logisticheskogo</w:t>
        </w:r>
        <w:proofErr w:type="spellEnd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segmenta</w:t>
        </w:r>
        <w:proofErr w:type="spellEnd"/>
      </w:hyperlink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Логистика рекордного экспорта зерна в сезоне 2015/2016 и перспективы следующего сезона. </w:t>
      </w:r>
      <w:proofErr w:type="spellStart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Русагротанс</w:t>
      </w:r>
      <w:proofErr w:type="spellEnd"/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2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https://clck.ru/J7Lqh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Портовая инфраструктура в Азово-Черноморском бассейне. Издательство «Морские вести России». </w:t>
      </w:r>
      <w:hyperlink r:id="rId23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http://www.morvesti.ru/analitics/detail.php?ID=23608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ЕСИМО. Морские порты России. </w:t>
      </w:r>
      <w:hyperlink r:id="rId24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http://www.russianports.ru/</w:t>
        </w:r>
      </w:hyperlink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стратегия Российской Федерации до 2030 года. Министерство транспорта РФ.  </w:t>
      </w:r>
      <w:hyperlink r:id="rId25" w:history="1">
        <w:r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https://www.mintrans.ru/press-center/news/2974</w:t>
        </w:r>
      </w:hyperlink>
    </w:p>
    <w:p w:rsidR="008F39F2" w:rsidRPr="002E0673" w:rsidRDefault="00347935" w:rsidP="008F39F2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8F39F2" w:rsidRPr="002E06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https://www.mintrans.ru/documents/3/1009</w:t>
        </w:r>
      </w:hyperlink>
      <w:r w:rsidR="008F39F2"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2E0673" w:rsidRDefault="008F39F2" w:rsidP="008F39F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(включая данные независимых аналитических центров, сообщения СМИ и т.д.  )</w:t>
      </w:r>
    </w:p>
    <w:p w:rsidR="008F39F2" w:rsidRDefault="008F39F2" w:rsidP="008F39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sectPr w:rsidR="008F3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Default="008F39F2" w:rsidP="008F39F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0673" w:rsidRPr="008F39F2" w:rsidRDefault="008F39F2" w:rsidP="008F39F2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  <w:sectPr w:rsidR="002E0673" w:rsidRPr="008F39F2" w:rsidSect="001705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9F2" w:rsidRDefault="008F39F2" w:rsidP="008F39F2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8F39F2" w:rsidRPr="00E53FA0" w:rsidRDefault="008F39F2" w:rsidP="008F39F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E53FA0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Проектное задание № 7 по определению географических границ рынка перевалки нефтепродуктов</w:t>
      </w:r>
    </w:p>
    <w:p w:rsidR="008F39F2" w:rsidRPr="00470B0E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277AC4" w:rsidRDefault="008F39F2" w:rsidP="008F39F2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</w:pPr>
      <w:r w:rsidRPr="00277AC4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>Описание проблемы</w:t>
      </w:r>
    </w:p>
    <w:p w:rsidR="008F39F2" w:rsidRPr="00470B0E" w:rsidRDefault="008F39F2" w:rsidP="008F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анализа рынка к Вам обратилась компания-владелец одного из терминалов в морском порту. На этом терминале осуществляется перевалка нефтепродуктов на морские суда. Отметим, по оценкам ЮНКТАД, около четверти морских перевозок в мире приходится на нефть и нефтепродукты. </w:t>
      </w:r>
    </w:p>
    <w:p w:rsidR="008F39F2" w:rsidRPr="00470B0E" w:rsidRDefault="008F39F2" w:rsidP="008F39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277AC4" w:rsidRDefault="008F39F2" w:rsidP="008F39F2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77AC4">
        <w:rPr>
          <w:rFonts w:eastAsia="Times New Roman" w:cs="Times New Roman"/>
          <w:b/>
          <w:sz w:val="28"/>
          <w:szCs w:val="28"/>
          <w:lang w:eastAsia="ru-RU"/>
        </w:rPr>
        <w:t>Описание задания</w:t>
      </w:r>
    </w:p>
    <w:p w:rsidR="008F39F2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границы рынка, на котором взаимодействует компания, 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санная в кейсе.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Предпосылки: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продукции, преимущественно, располагается в европейской части России.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можно </w:t>
      </w:r>
      <w:proofErr w:type="gram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 однородной</w:t>
      </w:r>
      <w:proofErr w:type="gram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себестоимость производства на разных НПЗ - одинаковой.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нефтепродуктов от НПЗ (например, из Москвы, Ярославля или Перми) осуществляется по железной дороге или с помощью трубопроводного транспорта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перевозку грузов по железной дороге у различных компаний не одинаковые: у сторонних участников тарифы примерно на 5% ниже, чем у РЖД. 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компании заказчика исследования располагается в морском порту российского Причерноморья.</w:t>
      </w:r>
    </w:p>
    <w:p w:rsidR="008F39F2" w:rsidRPr="00470B0E" w:rsidRDefault="008F39F2" w:rsidP="008F39F2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ставок на фрахт танкеров из российских портов не препятствует смене маршрутов </w:t>
      </w: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транпортировки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9F2" w:rsidRPr="00470B0E" w:rsidRDefault="008F39F2" w:rsidP="008F39F2">
      <w:pPr>
        <w:spacing w:after="0" w:line="360" w:lineRule="auto"/>
        <w:jc w:val="both"/>
        <w:rPr>
          <w:sz w:val="24"/>
          <w:szCs w:val="24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географических границ воспользуйтесь тестом гипотетического монополиста, примените Порядок 220 ФАС России</w:t>
      </w:r>
      <w:r w:rsidRPr="00470B0E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0E">
        <w:rPr>
          <w:sz w:val="24"/>
          <w:szCs w:val="24"/>
        </w:rPr>
        <w:t xml:space="preserve"> 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 гипотетического монополиста предполагает, что географические границы рынка определены верно, если контрагент не может переключиться на поставки, альтернативные поставкам монополиста, при повышении цены на 10%. В этом случае </w:t>
      </w:r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определение границ рынка осуществляется для того участника сделки, который обладает меньшими возможностями переключения на альтернативного контрагента. В данном случае, таким участником рынка выступает покупатель услуг на рынке перевалки нефтепродуктов в портах.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 грузооборот зернового терминала заказчика заданным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определите его рыночную долю в зависимости от установленных географических границ рынка и выбранного периода времени. Определите рыночную долю участника также для случая, когда географические границы определены иначе. 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1 (для сведения). Динамика грузооборота </w:t>
      </w:r>
      <w:proofErr w:type="gramStart"/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нефтепродуктов  на</w:t>
      </w:r>
      <w:proofErr w:type="gramEnd"/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терминале компании заказчика </w:t>
      </w:r>
    </w:p>
    <w:tbl>
      <w:tblPr>
        <w:tblStyle w:val="ae"/>
        <w:tblW w:w="0" w:type="auto"/>
        <w:tblInd w:w="119" w:type="dxa"/>
        <w:tblLook w:val="04A0" w:firstRow="1" w:lastRow="0" w:firstColumn="1" w:lastColumn="0" w:noHBand="0" w:noVBand="1"/>
      </w:tblPr>
      <w:tblGrid>
        <w:gridCol w:w="202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нефтепродуктов</w:t>
            </w:r>
          </w:p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тонн)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696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</w:tbl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конкуренцию между участниками рынка, положение компании-заказчика. Результаты занесите в таблицу 2. Поясните численные значения.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выполненному заданию:</w:t>
      </w:r>
    </w:p>
    <w:p w:rsidR="008F39F2" w:rsidRPr="00470B0E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ли на рассматриваемом рынке признаки доминирования в</w:t>
      </w:r>
    </w:p>
    <w:p w:rsidR="008F39F2" w:rsidRPr="00470B0E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ст.5 Закона «О защите конкуренции». Обоснуйте свой ответ.</w:t>
      </w:r>
    </w:p>
    <w:p w:rsidR="008F39F2" w:rsidRPr="00470B0E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полноту и надежность использованных источников информации, возможные неточности. Все выводы в ходе решения задания должны быть обоснованы! </w:t>
      </w: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 Результаты расчета доли рынка</w:t>
      </w:r>
    </w:p>
    <w:tbl>
      <w:tblPr>
        <w:tblStyle w:val="ae"/>
        <w:tblW w:w="0" w:type="auto"/>
        <w:tblInd w:w="119" w:type="dxa"/>
        <w:tblLook w:val="04A0" w:firstRow="1" w:lastRow="0" w:firstColumn="1" w:lastColumn="0" w:noHBand="0" w:noVBand="1"/>
      </w:tblPr>
      <w:tblGrid>
        <w:gridCol w:w="2023"/>
        <w:gridCol w:w="785"/>
        <w:gridCol w:w="785"/>
        <w:gridCol w:w="785"/>
        <w:gridCol w:w="821"/>
        <w:gridCol w:w="2248"/>
        <w:gridCol w:w="2005"/>
      </w:tblGrid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85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значения </w:t>
            </w:r>
          </w:p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</w:t>
            </w:r>
          </w:p>
        </w:tc>
        <w:tc>
          <w:tcPr>
            <w:tcW w:w="2005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отклонения</w:t>
            </w: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терминала</w:t>
            </w:r>
          </w:p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тонн)</w:t>
            </w:r>
          </w:p>
        </w:tc>
        <w:tc>
          <w:tcPr>
            <w:tcW w:w="785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рынка</w:t>
            </w:r>
          </w:p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тонн)</w:t>
            </w: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8F39F2" w:rsidRPr="00470B0E" w:rsidRDefault="008F39F2" w:rsidP="008F39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участника</w:t>
            </w: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рынка, когда его границы определены иначе</w:t>
            </w: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39F2" w:rsidRPr="00470B0E" w:rsidTr="008F39F2">
        <w:tc>
          <w:tcPr>
            <w:tcW w:w="2023" w:type="dxa"/>
          </w:tcPr>
          <w:p w:rsidR="008F39F2" w:rsidRPr="00470B0E" w:rsidRDefault="008F39F2" w:rsidP="008F3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участника, когда границы </w:t>
            </w:r>
            <w:proofErr w:type="gramStart"/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рынка  определены</w:t>
            </w:r>
            <w:proofErr w:type="gramEnd"/>
            <w:r w:rsidRPr="0047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иначе</w:t>
            </w: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8F39F2" w:rsidRPr="00470B0E" w:rsidRDefault="008F39F2" w:rsidP="008F39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F39F2" w:rsidRPr="00470B0E" w:rsidRDefault="008F39F2" w:rsidP="008F39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470B0E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B76C97" w:rsidRDefault="008F39F2" w:rsidP="008F39F2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C97">
        <w:rPr>
          <w:rFonts w:eastAsia="Times New Roman" w:cs="Times New Roman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8F39F2" w:rsidRPr="008B75CD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Росстата</w:t>
      </w:r>
      <w:r w:rsidRPr="008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https://www.gks.ru</w:t>
        </w:r>
      </w:hyperlink>
      <w:r w:rsidRPr="008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Минэнерго РФ</w:t>
      </w:r>
      <w:r w:rsidRPr="008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8B75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minenergo</w:t>
        </w:r>
        <w:proofErr w:type="spellEnd"/>
        <w:r w:rsidRPr="008B75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8B75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C2C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B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 N 10-01 "Тарифы на перевозки грузов и услуги инфраструктуры, выполняемые российскими железными дорогами". В том числе Таблица 25.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анализа рынков услуг по перевалке грузов (услуг стивидоров), проведенного в разное время Федеральной антимонопольной службой и её территориальными управлениями;</w:t>
      </w:r>
      <w:r w:rsidRPr="00470B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АО «</w:t>
      </w: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Морцентр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ТЭК»;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перевозок грузов через морские порты России, Балтии, Украины за 2015 г. АО «</w:t>
      </w: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Морцентр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ТЭК». </w:t>
      </w:r>
      <w:hyperlink r:id="rId29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http://morcenter.ru/news/gruzooborot-morskih-portov-rossii-za-yanvar-mart-2016-g</w:t>
        </w:r>
      </w:hyperlink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Перевалка нефтепродуктов через морские порты России выросла на 4% за 2015г. Группа компаний «Арсенал. </w:t>
      </w:r>
      <w:hyperlink r:id="rId30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https://arsenalgroup.ru/news/1151</w:t>
        </w:r>
      </w:hyperlink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морской портовой инфраструктуры России до 2030 года (одобрена Морской коллегией при Правительстве РФ 28.09.2012), в т.ч. приложения 1-5. </w:t>
      </w: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СудАкт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1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https://sudact.ru/law/strategiia-razvitiia-morskoi-portovoi-infrastruktury-rossii-do/</w:t>
        </w:r>
      </w:hyperlink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of Maritime Transport 2015. UNCTAD. </w:t>
      </w:r>
      <w:hyperlink r:id="rId32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https://unctad.org/en/pages/PublicationWebflyer.aspx?publicationid=1374</w:t>
        </w:r>
      </w:hyperlink>
      <w:r w:rsidRPr="00470B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последствий возврата к регулированию ставок в морских портах Российской Федерации и применения проекта методических указаний Федеральной антимонопольной службы России. Институт проблем естественных монополий, Москва, 2016 г. </w:t>
      </w:r>
      <w:hyperlink r:id="rId33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http://www.ipem.ru/files/files/other/poyasnitelnaya_zapiska_prezentaciya.pdf</w:t>
        </w:r>
      </w:hyperlink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Argus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Нефтетранспорт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Май 2018.  </w:t>
      </w:r>
      <w:hyperlink r:id="rId34" w:history="1">
        <w:r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https://www.argusmedia.com/-/media/Files/sample-reports/argus-neftetransport-russian.ashx?la=ru&amp;hash=23F666A0AEB1D8F60EAB23306C105AF0518D552C</w:t>
        </w:r>
      </w:hyperlink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транспорта РФ Игорь Левитин выступил на заседании Правительства РФ с докладом на тему «О комплексе мер, направленных на </w:t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морских портов и портовых особых экономических зон».   Опубликовано 20 Сентября 2007. Интернет-</w:t>
      </w:r>
      <w:proofErr w:type="gramStart"/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  </w:t>
      </w:r>
      <w:proofErr w:type="gramEnd"/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https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www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mintrans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press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center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interviews</w:instrText>
      </w:r>
      <w:r w:rsidRPr="00DC310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/19" </w:instrTex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mintrans</w:t>
      </w:r>
      <w:proofErr w:type="spellEnd"/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interviews</w:t>
      </w:r>
      <w:r w:rsidRPr="00470B0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стратегия Российской Федерации до 2030 года. Министерство транспорта РФ.  Интернет-адрес: </w:t>
      </w:r>
    </w:p>
    <w:p w:rsidR="008F39F2" w:rsidRPr="00470B0E" w:rsidRDefault="00347935" w:rsidP="008F39F2">
      <w:pPr>
        <w:pStyle w:val="ad"/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8F39F2"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https://www.mintrans.ru/press-center/news/2974</w:t>
        </w:r>
      </w:hyperlink>
    </w:p>
    <w:p w:rsidR="008F39F2" w:rsidRPr="00470B0E" w:rsidRDefault="00347935" w:rsidP="008F39F2">
      <w:pPr>
        <w:pStyle w:val="ad"/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8F39F2" w:rsidRPr="00470B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https://www.mintrans.ru/documents/3/1009</w:t>
        </w:r>
      </w:hyperlink>
      <w:r w:rsidR="008F39F2"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9F2" w:rsidRPr="00470B0E" w:rsidRDefault="008F39F2" w:rsidP="008F39F2">
      <w:pPr>
        <w:numPr>
          <w:ilvl w:val="0"/>
          <w:numId w:val="1"/>
        </w:numPr>
        <w:spacing w:after="0" w:line="360" w:lineRule="auto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источники, включая исследования независимых аналитических центров.</w:t>
      </w:r>
    </w:p>
    <w:p w:rsidR="008F39F2" w:rsidRDefault="008F39F2" w:rsidP="008F39F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8F39F2" w:rsidRDefault="008F39F2" w:rsidP="008F39F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470B0E" w:rsidRPr="008F39F2" w:rsidRDefault="00470B0E" w:rsidP="008F39F2">
      <w:pPr>
        <w:rPr>
          <w:rFonts w:ascii="Arial" w:eastAsia="Times New Roman" w:hAnsi="Arial" w:cs="Arial"/>
          <w:sz w:val="32"/>
          <w:szCs w:val="32"/>
          <w:lang w:eastAsia="ru-RU"/>
        </w:rPr>
        <w:sectPr w:rsidR="00470B0E" w:rsidRPr="008F3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Default="008F39F2" w:rsidP="008F39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lastRenderedPageBreak/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продуктовым границам рынка </w:t>
      </w:r>
    </w:p>
    <w:p w:rsidR="008F39F2" w:rsidRPr="0053588C" w:rsidRDefault="008F39F2" w:rsidP="008F39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медицинского препарата</w:t>
      </w:r>
    </w:p>
    <w:p w:rsidR="008F39F2" w:rsidRPr="00277AC4" w:rsidRDefault="008F39F2" w:rsidP="008F39F2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277AC4">
        <w:rPr>
          <w:rFonts w:cs="Times New Roman"/>
          <w:b/>
          <w:sz w:val="28"/>
          <w:szCs w:val="28"/>
        </w:rPr>
        <w:t>Описание проблемы</w:t>
      </w: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C4">
        <w:rPr>
          <w:rFonts w:ascii="Times New Roman" w:hAnsi="Times New Roman" w:cs="Times New Roman"/>
          <w:sz w:val="24"/>
          <w:szCs w:val="24"/>
        </w:rPr>
        <w:t>Федеральная антимонопольная служба (ФАС России) возбудила дело в отношении компании, которая резко повысила цену на медицинский препарат с торговым наименованием «</w:t>
      </w:r>
      <w:proofErr w:type="spellStart"/>
      <w:r w:rsidRPr="00277AC4">
        <w:rPr>
          <w:rFonts w:ascii="Times New Roman" w:hAnsi="Times New Roman" w:cs="Times New Roman"/>
          <w:sz w:val="24"/>
          <w:szCs w:val="24"/>
        </w:rPr>
        <w:t>Квитикистин</w:t>
      </w:r>
      <w:proofErr w:type="spellEnd"/>
      <w:r w:rsidRPr="00277AC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39F2" w:rsidRDefault="008F39F2" w:rsidP="008F39F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9F2" w:rsidRPr="00277AC4" w:rsidRDefault="008F39F2" w:rsidP="008F39F2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277AC4">
        <w:rPr>
          <w:rFonts w:cs="Times New Roman"/>
          <w:b/>
          <w:sz w:val="28"/>
          <w:szCs w:val="28"/>
        </w:rPr>
        <w:t>Описание задания</w:t>
      </w:r>
    </w:p>
    <w:p w:rsidR="008F39F2" w:rsidRPr="00277AC4" w:rsidRDefault="008F39F2" w:rsidP="008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C4">
        <w:rPr>
          <w:rFonts w:ascii="Times New Roman" w:hAnsi="Times New Roman" w:cs="Times New Roman"/>
          <w:sz w:val="24"/>
          <w:szCs w:val="24"/>
        </w:rPr>
        <w:t>К Вам обратилось заинтересованное лицо и предложило провести анализ действий обвиняемой компании.</w:t>
      </w: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Предпосылки:</w:t>
      </w:r>
    </w:p>
    <w:p w:rsidR="008F39F2" w:rsidRPr="00277AC4" w:rsidRDefault="008F39F2" w:rsidP="008F39F2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компания является единственным производителем «</w:t>
      </w:r>
      <w:proofErr w:type="spellStart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Квитикистина</w:t>
      </w:r>
      <w:proofErr w:type="spellEnd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39F2" w:rsidRPr="00277AC4" w:rsidRDefault="008F39F2" w:rsidP="008F39F2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Квитикистин</w:t>
      </w:r>
      <w:proofErr w:type="spellEnd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официально зарегистрирован в России, внесён в Государственный реестр лекарственных средств, не отпускается без рецепта.</w:t>
      </w:r>
    </w:p>
    <w:p w:rsidR="008F39F2" w:rsidRPr="00277AC4" w:rsidRDefault="008F39F2" w:rsidP="008F39F2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существуют аналоги «</w:t>
      </w:r>
      <w:proofErr w:type="spellStart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Квитикистина</w:t>
      </w:r>
      <w:proofErr w:type="spellEnd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других производителей с тем же международным непатентованным названием, но у них различаются технологии производства, состав примесей и вспомогательных веществ. Поэтому, по сообщениям Минздрава и его научного центра, пациенты, которым был назначен «</w:t>
      </w:r>
      <w:proofErr w:type="spellStart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Квитикистин</w:t>
      </w:r>
      <w:proofErr w:type="spellEnd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уже не могут перейти на аналоги. </w:t>
      </w:r>
    </w:p>
    <w:p w:rsidR="008F39F2" w:rsidRPr="00277AC4" w:rsidRDefault="008F39F2" w:rsidP="008F39F2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должны принимать «</w:t>
      </w:r>
      <w:proofErr w:type="spellStart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Квитикистин</w:t>
      </w:r>
      <w:proofErr w:type="spellEnd"/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его аналог в течение длительного периода (больше года), они не могут не принимать медицинский препарат в связи с тяжестью заболевания. Схема лечения определяется лечащим врачом для каждого пациента индивидуально.</w:t>
      </w: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EA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анализ рынка состояния конкуренции на рассматриваемом товарном рынке</w:t>
      </w: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39F2" w:rsidRPr="00277AC4" w:rsidRDefault="008F39F2" w:rsidP="008F39F2">
      <w:pPr>
        <w:spacing w:after="0" w:line="360" w:lineRule="auto"/>
        <w:jc w:val="both"/>
        <w:rPr>
          <w:sz w:val="24"/>
          <w:szCs w:val="24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продуктовых границ рынка используйте Порядок 220 ФАС России</w:t>
      </w:r>
      <w:r w:rsidRPr="00277AC4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воспользуйтесь тестом гипотетического монополиста:</w:t>
      </w: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 гипотетического монополиста предполагает, что продуктовые границы рынка определены верно, если контрагент не может переключиться на поставки, альтернативные поставкам монополиста, при повышении цены на 10%. В этом случае определение границ рынка осуществляется для того участника сделки, который обладает меньшими возможностями переключения на альтернативного контрагента. В </w:t>
      </w:r>
      <w:r w:rsidRPr="0027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данном случае, таким участником рынка выступает покупатель медицинского препарата.</w:t>
      </w: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39F2" w:rsidRPr="00277AC4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выполненному заданию:</w:t>
      </w:r>
    </w:p>
    <w:p w:rsidR="008F39F2" w:rsidRPr="00277AC4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ли обвиняемая компания доминирующее положение на рынке в соответствии с ст. 5 Закона «О защите конкуренции». Обоснуйте свой ответ.</w:t>
      </w:r>
    </w:p>
    <w:p w:rsidR="008F39F2" w:rsidRPr="00277AC4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полноту и надежность использованных источников информации, возможные неточности. Все выводы в ходе решения задания должны быть обоснованы! </w:t>
      </w:r>
    </w:p>
    <w:p w:rsidR="008F39F2" w:rsidRDefault="008F39F2" w:rsidP="008F39F2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8F39F2" w:rsidRPr="00277AC4" w:rsidRDefault="008F39F2" w:rsidP="008F39F2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277AC4">
        <w:rPr>
          <w:rFonts w:eastAsia="Times New Roman" w:cs="Arial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i/>
          <w:sz w:val="24"/>
          <w:szCs w:val="24"/>
        </w:rPr>
        <w:t xml:space="preserve">Луис М.Б. </w:t>
      </w:r>
      <w:proofErr w:type="spellStart"/>
      <w:r w:rsidRPr="00A36240">
        <w:rPr>
          <w:rFonts w:ascii="Times New Roman" w:hAnsi="Times New Roman" w:cs="Times New Roman"/>
          <w:i/>
          <w:sz w:val="24"/>
          <w:szCs w:val="24"/>
        </w:rPr>
        <w:t>Кабраль</w:t>
      </w:r>
      <w:proofErr w:type="spellEnd"/>
      <w:r w:rsidRPr="00A362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6240">
        <w:rPr>
          <w:rFonts w:ascii="Times New Roman" w:hAnsi="Times New Roman" w:cs="Times New Roman"/>
          <w:sz w:val="24"/>
          <w:szCs w:val="24"/>
        </w:rPr>
        <w:t>Организация отраслевых рынков: вводный курс. — Мн.: Новое знание. — 356 с.. 2003.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i/>
          <w:sz w:val="24"/>
          <w:szCs w:val="24"/>
        </w:rPr>
        <w:t>Бродский В.</w:t>
      </w:r>
      <w:r w:rsidRPr="00A36240">
        <w:rPr>
          <w:rFonts w:ascii="Times New Roman" w:hAnsi="Times New Roman" w:cs="Times New Roman"/>
          <w:sz w:val="24"/>
          <w:szCs w:val="24"/>
        </w:rPr>
        <w:t xml:space="preserve"> О некоторых ключевых понятиях антимонопольного законодательства. Экономическая политика, 2010, № 6, с.124-143.  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240">
        <w:rPr>
          <w:rFonts w:ascii="Times New Roman" w:hAnsi="Times New Roman" w:cs="Times New Roman"/>
          <w:i/>
          <w:sz w:val="24"/>
          <w:szCs w:val="24"/>
        </w:rPr>
        <w:t>Шаститко</w:t>
      </w:r>
      <w:proofErr w:type="spellEnd"/>
      <w:r w:rsidRPr="00A36240">
        <w:rPr>
          <w:rFonts w:ascii="Times New Roman" w:hAnsi="Times New Roman" w:cs="Times New Roman"/>
          <w:i/>
          <w:sz w:val="24"/>
          <w:szCs w:val="24"/>
        </w:rPr>
        <w:t xml:space="preserve"> А. Е., </w:t>
      </w:r>
      <w:proofErr w:type="spellStart"/>
      <w:r w:rsidRPr="00A36240">
        <w:rPr>
          <w:rFonts w:ascii="Times New Roman" w:hAnsi="Times New Roman" w:cs="Times New Roman"/>
          <w:i/>
          <w:sz w:val="24"/>
          <w:szCs w:val="24"/>
        </w:rPr>
        <w:t>Авдашева</w:t>
      </w:r>
      <w:proofErr w:type="spellEnd"/>
      <w:r w:rsidRPr="00A36240">
        <w:rPr>
          <w:rFonts w:ascii="Times New Roman" w:hAnsi="Times New Roman" w:cs="Times New Roman"/>
          <w:i/>
          <w:sz w:val="24"/>
          <w:szCs w:val="24"/>
        </w:rPr>
        <w:t xml:space="preserve"> С. Б.</w:t>
      </w:r>
      <w:r w:rsidRPr="00A36240">
        <w:rPr>
          <w:rFonts w:ascii="Times New Roman" w:hAnsi="Times New Roman" w:cs="Times New Roman"/>
          <w:sz w:val="24"/>
          <w:szCs w:val="24"/>
        </w:rPr>
        <w:t xml:space="preserve"> Запрет на установление монопольно высокой цены: экономические основания, варианты и новации антимонопольного законодательства // Экономическая политика. 2009. № 2. С. 39-57.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sz w:val="24"/>
          <w:szCs w:val="24"/>
        </w:rPr>
        <w:t>Закон РФ «О защите конкуренции» от 26.07.2006 (последняя редакция)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sz w:val="24"/>
          <w:szCs w:val="24"/>
        </w:rPr>
        <w:t>Федеральный закон "Об обращении лекарственных средств" от 12.04.2010 (последняя редакция)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sz w:val="24"/>
          <w:szCs w:val="24"/>
        </w:rPr>
        <w:t xml:space="preserve">ФАС признала доминирующее положение </w:t>
      </w:r>
      <w:proofErr w:type="spellStart"/>
      <w:r w:rsidRPr="00A3624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36240">
        <w:rPr>
          <w:rFonts w:ascii="Times New Roman" w:hAnsi="Times New Roman" w:cs="Times New Roman"/>
          <w:sz w:val="24"/>
          <w:szCs w:val="24"/>
        </w:rPr>
        <w:t xml:space="preserve"> в России. Ведомости. 16 января 2019 года. </w:t>
      </w:r>
    </w:p>
    <w:p w:rsidR="008F39F2" w:rsidRPr="00A36240" w:rsidRDefault="008F39F2" w:rsidP="008F39F2">
      <w:pPr>
        <w:pStyle w:val="ad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6240">
        <w:rPr>
          <w:rFonts w:ascii="Times New Roman" w:hAnsi="Times New Roman" w:cs="Times New Roman"/>
          <w:sz w:val="24"/>
          <w:szCs w:val="24"/>
        </w:rPr>
        <w:t xml:space="preserve">ФАС назвала </w:t>
      </w:r>
      <w:proofErr w:type="spellStart"/>
      <w:r w:rsidRPr="00A36240">
        <w:rPr>
          <w:rFonts w:ascii="Times New Roman" w:hAnsi="Times New Roman" w:cs="Times New Roman"/>
          <w:sz w:val="24"/>
          <w:szCs w:val="24"/>
        </w:rPr>
        <w:t>фармпроизводителей</w:t>
      </w:r>
      <w:proofErr w:type="spellEnd"/>
      <w:r w:rsidRPr="00A36240">
        <w:rPr>
          <w:rFonts w:ascii="Times New Roman" w:hAnsi="Times New Roman" w:cs="Times New Roman"/>
          <w:sz w:val="24"/>
          <w:szCs w:val="24"/>
        </w:rPr>
        <w:t>, чьи препараты занимают доминирующее положение. Фармацевтический вестник. 10 мая 2017.</w:t>
      </w:r>
    </w:p>
    <w:p w:rsidR="008F39F2" w:rsidRPr="00A36240" w:rsidRDefault="008F39F2" w:rsidP="008F39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F39F2" w:rsidRPr="00A36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F2" w:rsidRPr="0053588C" w:rsidRDefault="008F39F2" w:rsidP="008F39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lastRenderedPageBreak/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9 на примере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рынка химического вещества</w:t>
      </w:r>
    </w:p>
    <w:p w:rsidR="008F39F2" w:rsidRPr="000A71A5" w:rsidRDefault="008F39F2" w:rsidP="008F39F2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0A71A5">
        <w:rPr>
          <w:rFonts w:cs="Times New Roman"/>
          <w:b/>
          <w:sz w:val="28"/>
          <w:szCs w:val="28"/>
        </w:rPr>
        <w:t>Описание проблемы</w:t>
      </w:r>
    </w:p>
    <w:p w:rsidR="008F39F2" w:rsidRPr="000A71A5" w:rsidRDefault="008F39F2" w:rsidP="008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 xml:space="preserve">Управление ФАС России по одному из российских регионов проводит проверку по факту злоупотребления одной из местных компаний своим доминирующим положением. Данная компания производит химическое вещество и поставляет его своему контрагенту.  </w:t>
      </w:r>
    </w:p>
    <w:p w:rsidR="008F39F2" w:rsidRPr="000A71A5" w:rsidRDefault="008F39F2" w:rsidP="008F39F2">
      <w:pPr>
        <w:spacing w:before="120" w:after="0" w:line="360" w:lineRule="auto"/>
        <w:jc w:val="both"/>
        <w:rPr>
          <w:rFonts w:cs="Times New Roman"/>
          <w:b/>
          <w:sz w:val="28"/>
          <w:szCs w:val="28"/>
        </w:rPr>
      </w:pPr>
      <w:r w:rsidRPr="000A71A5">
        <w:rPr>
          <w:rFonts w:cs="Times New Roman"/>
          <w:b/>
          <w:sz w:val="28"/>
          <w:szCs w:val="28"/>
        </w:rPr>
        <w:t>Описание задания</w:t>
      </w:r>
    </w:p>
    <w:p w:rsidR="008F39F2" w:rsidRPr="000A71A5" w:rsidRDefault="008F39F2" w:rsidP="008F3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>К Вам обратилось заинтересованное лицо и предложило провести анализ положения обвиняемой компании.</w:t>
      </w:r>
    </w:p>
    <w:p w:rsidR="008F39F2" w:rsidRPr="000A71A5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</w:t>
      </w:r>
    </w:p>
    <w:p w:rsidR="008F39F2" w:rsidRPr="000A71A5" w:rsidRDefault="008F39F2" w:rsidP="008F39F2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советские годы обе компании составляли единое целое, и в 90-е годы были разделены и приватизированы. Сейчас управляются различными собственниками, хотя их территории непосредственно граничат друг с другом.</w:t>
      </w:r>
    </w:p>
    <w:p w:rsidR="008F39F2" w:rsidRPr="000A71A5" w:rsidRDefault="008F39F2" w:rsidP="008F39F2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химического вещества осуществляется по трубопроводу из одного комбината в другой.</w:t>
      </w:r>
    </w:p>
    <w:p w:rsidR="008F39F2" w:rsidRPr="000A71A5" w:rsidRDefault="008F39F2" w:rsidP="008F39F2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поставок и закупок данного химического вещества у компаний приходятся друг на друга (единая технологическая цепочка). Цены и объёмы поставок показаны в таблице 1.</w:t>
      </w:r>
    </w:p>
    <w:p w:rsidR="008F39F2" w:rsidRPr="000A71A5" w:rsidRDefault="008F39F2" w:rsidP="008F39F2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вещество или его заменители в регионе больше нигде не производятся.  </w:t>
      </w:r>
    </w:p>
    <w:p w:rsidR="008F39F2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091C90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Годовые характеристики поставок.</w:t>
      </w:r>
    </w:p>
    <w:tbl>
      <w:tblPr>
        <w:tblStyle w:val="11"/>
        <w:tblW w:w="0" w:type="auto"/>
        <w:tblInd w:w="119" w:type="dxa"/>
        <w:tblLook w:val="04A0" w:firstRow="1" w:lastRow="0" w:firstColumn="1" w:lastColumn="0" w:noHBand="0" w:noVBand="1"/>
      </w:tblPr>
      <w:tblGrid>
        <w:gridCol w:w="2023"/>
        <w:gridCol w:w="1267"/>
        <w:gridCol w:w="1276"/>
        <w:gridCol w:w="1134"/>
      </w:tblGrid>
      <w:tr w:rsidR="008F39F2" w:rsidRPr="008D07CC" w:rsidTr="008F39F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39F2" w:rsidRPr="008D07CC" w:rsidTr="008F39F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Поставки химического вещества в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F2" w:rsidRPr="008D07CC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 тонн</w:t>
            </w:r>
          </w:p>
        </w:tc>
      </w:tr>
      <w:tr w:rsidR="008F39F2" w:rsidRPr="008D07CC" w:rsidTr="008F39F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F2" w:rsidRPr="0025772D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рублей за тонну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F2" w:rsidRPr="0025772D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F2" w:rsidRPr="0025772D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F2" w:rsidRPr="0025772D" w:rsidRDefault="008F39F2" w:rsidP="008F3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870,89</w:t>
            </w:r>
          </w:p>
        </w:tc>
      </w:tr>
    </w:tbl>
    <w:p w:rsidR="008F39F2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9F2" w:rsidRPr="000A71A5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проанализировать рынок, оценить степень конкуренции между его участниками. </w:t>
      </w:r>
    </w:p>
    <w:p w:rsidR="008F39F2" w:rsidRPr="000A71A5" w:rsidRDefault="008F39F2" w:rsidP="008F39F2">
      <w:pPr>
        <w:spacing w:after="0" w:line="360" w:lineRule="auto"/>
        <w:jc w:val="both"/>
        <w:rPr>
          <w:sz w:val="24"/>
          <w:szCs w:val="24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продуктовых и географических границ рынка воспользуйтесь Порядком 220 ФАС России</w:t>
      </w:r>
      <w:r w:rsidRPr="000A71A5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9F2" w:rsidRPr="000A71A5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Напомним, что тест гипотетического монополиста предполагает, что =границы рынка определены верно, если контрагент не может переключиться на поставки, альтернативные поставкам монополиста, при повышении цены на 10%. В этом случае определение границ рынка осуществляется для того участника сделки (покупателя или продавца), который обладает меньшими возможностями переключения на альтернативного контрагента.</w:t>
      </w:r>
    </w:p>
    <w:p w:rsidR="008F39F2" w:rsidRPr="000A71A5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9F2" w:rsidRPr="000A71A5" w:rsidRDefault="008F39F2" w:rsidP="008F3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выполненному заданию:</w:t>
      </w:r>
    </w:p>
    <w:p w:rsidR="008F39F2" w:rsidRPr="000A71A5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>1). Занимает ли обвиняемая компания доминирующее положение на рынке в соответствии с ст. 5 Закона «О защите конкуренции». Обоснуйте свой ответ.</w:t>
      </w:r>
    </w:p>
    <w:p w:rsidR="008F39F2" w:rsidRPr="000A71A5" w:rsidRDefault="008F39F2" w:rsidP="008F39F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Проанализируйте полноту и надежность использованных источников информации, возможные неточности. Все выводы в ходе решения задания должны быть обоснованы! </w:t>
      </w:r>
    </w:p>
    <w:p w:rsidR="008F39F2" w:rsidRDefault="008F39F2" w:rsidP="008F39F2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8F39F2" w:rsidRPr="00A36240" w:rsidRDefault="008F39F2" w:rsidP="008F39F2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A36240">
        <w:rPr>
          <w:rFonts w:eastAsia="Times New Roman" w:cs="Arial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i/>
          <w:sz w:val="24"/>
          <w:szCs w:val="24"/>
        </w:rPr>
        <w:t xml:space="preserve">Луис М.Б. </w:t>
      </w:r>
      <w:proofErr w:type="spellStart"/>
      <w:r w:rsidRPr="000A71A5">
        <w:rPr>
          <w:rFonts w:ascii="Times New Roman" w:hAnsi="Times New Roman" w:cs="Times New Roman"/>
          <w:i/>
          <w:sz w:val="24"/>
          <w:szCs w:val="24"/>
        </w:rPr>
        <w:t>Кабраль</w:t>
      </w:r>
      <w:proofErr w:type="spellEnd"/>
      <w:r w:rsidRPr="000A71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71A5">
        <w:rPr>
          <w:rFonts w:ascii="Times New Roman" w:hAnsi="Times New Roman" w:cs="Times New Roman"/>
          <w:sz w:val="24"/>
          <w:szCs w:val="24"/>
        </w:rPr>
        <w:t>Организация отраслевых рынков: вводный курс. — Мн.: Новое знание. — 356 с.. 2003.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1A5">
        <w:rPr>
          <w:rFonts w:ascii="Times New Roman" w:hAnsi="Times New Roman" w:cs="Times New Roman"/>
          <w:i/>
          <w:sz w:val="24"/>
          <w:szCs w:val="24"/>
        </w:rPr>
        <w:t>Шаститко</w:t>
      </w:r>
      <w:proofErr w:type="spellEnd"/>
      <w:r w:rsidRPr="000A71A5">
        <w:rPr>
          <w:rFonts w:ascii="Times New Roman" w:hAnsi="Times New Roman" w:cs="Times New Roman"/>
          <w:i/>
          <w:sz w:val="24"/>
          <w:szCs w:val="24"/>
        </w:rPr>
        <w:t xml:space="preserve"> А. Е., </w:t>
      </w:r>
      <w:proofErr w:type="spellStart"/>
      <w:r w:rsidRPr="000A71A5">
        <w:rPr>
          <w:rFonts w:ascii="Times New Roman" w:hAnsi="Times New Roman" w:cs="Times New Roman"/>
          <w:i/>
          <w:sz w:val="24"/>
          <w:szCs w:val="24"/>
        </w:rPr>
        <w:t>Авдашева</w:t>
      </w:r>
      <w:proofErr w:type="spellEnd"/>
      <w:r w:rsidRPr="000A71A5">
        <w:rPr>
          <w:rFonts w:ascii="Times New Roman" w:hAnsi="Times New Roman" w:cs="Times New Roman"/>
          <w:i/>
          <w:sz w:val="24"/>
          <w:szCs w:val="24"/>
        </w:rPr>
        <w:t xml:space="preserve"> С. Б.</w:t>
      </w:r>
      <w:r w:rsidRPr="000A71A5">
        <w:rPr>
          <w:rFonts w:ascii="Times New Roman" w:hAnsi="Times New Roman" w:cs="Times New Roman"/>
          <w:sz w:val="24"/>
          <w:szCs w:val="24"/>
        </w:rPr>
        <w:t xml:space="preserve"> Запрет на установление монопольно высокой цены: экономические основания, варианты и новации антимонопольного законодательства // Экономическая политика. 2009. № 2. С. 39-57.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>Закон РФ «О защите конкуренции» от 26.07.2006 (последняя редакция)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>Федеральный закон "Об обращении лекарственных средств" от 12.04.2010 (последняя редакция)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 xml:space="preserve">ФАС признала доминирующее положение </w:t>
      </w:r>
      <w:proofErr w:type="spellStart"/>
      <w:r w:rsidRPr="000A71A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A71A5">
        <w:rPr>
          <w:rFonts w:ascii="Times New Roman" w:hAnsi="Times New Roman" w:cs="Times New Roman"/>
          <w:sz w:val="24"/>
          <w:szCs w:val="24"/>
        </w:rPr>
        <w:t xml:space="preserve"> в России. Ведомости. 16 января 2019 года. </w:t>
      </w:r>
    </w:p>
    <w:p w:rsidR="008F39F2" w:rsidRPr="000A71A5" w:rsidRDefault="008F39F2" w:rsidP="008F39F2">
      <w:pPr>
        <w:pStyle w:val="ad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1A5">
        <w:rPr>
          <w:rFonts w:ascii="Times New Roman" w:hAnsi="Times New Roman" w:cs="Times New Roman"/>
          <w:sz w:val="24"/>
          <w:szCs w:val="24"/>
        </w:rPr>
        <w:t>ФАС предложит собственникам предприятий в Пикалево объединиться. РИА Новости. 21.08.2009.</w:t>
      </w:r>
    </w:p>
    <w:p w:rsidR="002E0673" w:rsidRPr="007C1A82" w:rsidRDefault="002E0673" w:rsidP="00AC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314" w:rsidRDefault="00A55314" w:rsidP="00A55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55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314" w:rsidRDefault="00A55314" w:rsidP="00AC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E3" w:rsidRPr="0053588C" w:rsidRDefault="002C32E3" w:rsidP="002C3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примере анализа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торговых сетей</w:t>
      </w:r>
    </w:p>
    <w:p w:rsidR="002C32E3" w:rsidRDefault="002C32E3" w:rsidP="002C32E3">
      <w:pPr>
        <w:spacing w:before="120" w:after="0" w:line="360" w:lineRule="auto"/>
        <w:rPr>
          <w:rFonts w:cs="Times New Roman"/>
          <w:b/>
          <w:sz w:val="28"/>
          <w:szCs w:val="28"/>
        </w:rPr>
      </w:pPr>
    </w:p>
    <w:p w:rsidR="002C32E3" w:rsidRPr="008F6B97" w:rsidRDefault="002C32E3" w:rsidP="002C32E3">
      <w:pPr>
        <w:spacing w:before="120" w:after="0" w:line="360" w:lineRule="auto"/>
        <w:rPr>
          <w:rFonts w:cs="Times New Roman"/>
          <w:b/>
          <w:sz w:val="28"/>
          <w:szCs w:val="28"/>
        </w:rPr>
      </w:pPr>
      <w:r w:rsidRPr="008F6B97">
        <w:rPr>
          <w:rFonts w:cs="Times New Roman"/>
          <w:b/>
          <w:sz w:val="28"/>
          <w:szCs w:val="28"/>
        </w:rPr>
        <w:t>Описание проблемы</w:t>
      </w:r>
    </w:p>
    <w:p w:rsidR="002C32E3" w:rsidRPr="008F6B97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97">
        <w:rPr>
          <w:rFonts w:ascii="Times New Roman" w:hAnsi="Times New Roman" w:cs="Times New Roman"/>
          <w:sz w:val="24"/>
          <w:szCs w:val="24"/>
        </w:rPr>
        <w:t xml:space="preserve">В региональном центре одного из субъектов России резко выросло число магазинов одной из крупнейших торговых сетей. Управление Федеральной антимонопольной службы (УФАС) по региону провело анализ рынка и представило Аналитический отчет по анализу конкуренции на рынке розничной продажи продовольственных товаров торговыми сетями в этом городе за 2016-2018 годы. </w:t>
      </w:r>
    </w:p>
    <w:p w:rsidR="002C32E3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2C32E3" w:rsidRPr="00573AAF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73AAF">
        <w:rPr>
          <w:rFonts w:eastAsia="Times New Roman" w:cs="Arial"/>
          <w:b/>
          <w:sz w:val="28"/>
          <w:szCs w:val="28"/>
          <w:lang w:eastAsia="ru-RU"/>
        </w:rPr>
        <w:t>Описание задания</w:t>
      </w:r>
    </w:p>
    <w:p w:rsidR="002C32E3" w:rsidRPr="008F6B97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97">
        <w:rPr>
          <w:rFonts w:ascii="Times New Roman" w:hAnsi="Times New Roman" w:cs="Times New Roman"/>
          <w:sz w:val="24"/>
          <w:szCs w:val="24"/>
        </w:rPr>
        <w:t>К Вам обратилось заинтересованное лицо и предложило изучить аналитический отчет УФАС.</w:t>
      </w:r>
    </w:p>
    <w:p w:rsidR="002C32E3" w:rsidRPr="008F6B97" w:rsidRDefault="008B1B31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Предпосылки:</w:t>
      </w:r>
    </w:p>
    <w:p w:rsidR="002C32E3" w:rsidRPr="008F6B97" w:rsidRDefault="002C32E3" w:rsidP="002C32E3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 составило список из 12 торговых сетей, их доли даны в таблице №1, число магазинов – в таблице № 2. Торговые сети 1, 3, 6, 7, 10, 11 и 12 относятся к федеральным торговым сетям, а оставшиеся - к региональным.</w:t>
      </w:r>
    </w:p>
    <w:p w:rsidR="002C32E3" w:rsidRPr="008F6B97" w:rsidRDefault="002C32E3" w:rsidP="002C32E3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№ 1 представлены данные по долям компаний, на которые приходится свыше половины всех розничных продаж продовольствия в городе. </w:t>
      </w:r>
    </w:p>
    <w:p w:rsidR="002C32E3" w:rsidRPr="008F6B97" w:rsidRDefault="002C32E3" w:rsidP="002C32E3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столице субъекта в 2018 году действовали 217 магазинов шаговой доступности, которые принадлежали 89 компаниям. В 2016 году этот показатель был выше – 236 магазинов. </w:t>
      </w:r>
    </w:p>
    <w:p w:rsidR="002C32E3" w:rsidRPr="008F6B97" w:rsidRDefault="002C32E3" w:rsidP="002C32E3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реализации продовольственных товаров торговой сетью 1 составил 2745,9 </w:t>
      </w:r>
      <w:proofErr w:type="spellStart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 </w:t>
      </w:r>
      <w:proofErr w:type="gramStart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 3483</w:t>
      </w:r>
      <w:proofErr w:type="gramEnd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</w:t>
      </w:r>
      <w:proofErr w:type="spellStart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2017 году, 3276,8 </w:t>
      </w:r>
      <w:proofErr w:type="spellStart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F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году.</w:t>
      </w:r>
    </w:p>
    <w:p w:rsidR="002C32E3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860744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доли торговых сетей согласно Аналитическому отчету УФАС (по о</w:t>
      </w:r>
      <w:r w:rsidRPr="006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</w:t>
      </w:r>
      <w:r w:rsidRPr="006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продовольственных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11"/>
        <w:tblW w:w="0" w:type="auto"/>
        <w:tblInd w:w="119" w:type="dxa"/>
        <w:tblLook w:val="04A0" w:firstRow="1" w:lastRow="0" w:firstColumn="1" w:lastColumn="0" w:noHBand="0" w:noVBand="1"/>
      </w:tblPr>
      <w:tblGrid>
        <w:gridCol w:w="2023"/>
        <w:gridCol w:w="1267"/>
        <w:gridCol w:w="1276"/>
        <w:gridCol w:w="1134"/>
      </w:tblGrid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8D07CC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8D07CC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8D07CC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8D07CC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0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год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8D07CC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8D07CC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8D07CC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8D07CC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27,47%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20,63%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10,92%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10,23%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7,29%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7,03%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Торговая сеть 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5,84%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3,26%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1,04%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0,78%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25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торговых точек торговых сетей в региональном центре согласно Аналитическому отчету УФАС России.</w:t>
      </w:r>
    </w:p>
    <w:tbl>
      <w:tblPr>
        <w:tblStyle w:val="11"/>
        <w:tblW w:w="0" w:type="auto"/>
        <w:tblInd w:w="119" w:type="dxa"/>
        <w:tblLook w:val="04A0" w:firstRow="1" w:lastRow="0" w:firstColumn="1" w:lastColumn="0" w:noHBand="0" w:noVBand="1"/>
      </w:tblPr>
      <w:tblGrid>
        <w:gridCol w:w="2023"/>
        <w:gridCol w:w="1267"/>
        <w:gridCol w:w="1276"/>
        <w:gridCol w:w="1134"/>
      </w:tblGrid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2E3" w:rsidRPr="008D07CC" w:rsidTr="0082193C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3" w:rsidRPr="00573AAF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 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3" w:rsidRPr="00573AAF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573AAF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рынка с точки зрения интенсивности конкуренции и рыночной концентрации.  Определите продуктовые и географические границы рынка, используя Порядок 220 ФАС России</w:t>
      </w:r>
      <w:r w:rsidRPr="00573AAF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2E3" w:rsidRPr="00573AAF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выполненному заданию:</w:t>
      </w:r>
    </w:p>
    <w:p w:rsidR="002C32E3" w:rsidRPr="00573AAF" w:rsidRDefault="002C32E3" w:rsidP="002C3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1). </w:t>
      </w: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Занимают ли одна, две или несколько </w:t>
      </w:r>
      <w:proofErr w:type="gramStart"/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 доминирующее</w:t>
      </w:r>
      <w:proofErr w:type="gramEnd"/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на рынке в соответствии с ст. 5 Закона «О защите конкуренции»? Обоснуйте свой ответ.</w:t>
      </w:r>
    </w:p>
    <w:p w:rsidR="002C32E3" w:rsidRPr="00573AAF" w:rsidRDefault="002C32E3" w:rsidP="002C3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Распространяются ли на хозяйствующие субъекты какие-либо запреты, установленные ст.13 и 14 Федерального закона "Об основах государственного </w:t>
      </w: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регулирования торговой деятельности в Российской Федерации"? Обоснуйте свой ответ.</w:t>
      </w:r>
    </w:p>
    <w:p w:rsidR="002C32E3" w:rsidRPr="00573AAF" w:rsidRDefault="002C32E3" w:rsidP="002C3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AF">
        <w:rPr>
          <w:rFonts w:ascii="Times New Roman" w:eastAsia="Times New Roman" w:hAnsi="Times New Roman" w:cs="Times New Roman"/>
          <w:sz w:val="24"/>
          <w:szCs w:val="24"/>
          <w:lang w:eastAsia="ru-RU"/>
        </w:rPr>
        <w:t>3). Проанализируйте полноту и надежность использованных источников информации, возможные неточности. Обоснуйте свой ответ.</w:t>
      </w:r>
    </w:p>
    <w:p w:rsidR="002C32E3" w:rsidRPr="00573AAF" w:rsidRDefault="002C32E3" w:rsidP="002C32E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2E3" w:rsidRPr="00A36240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A36240">
        <w:rPr>
          <w:rFonts w:eastAsia="Times New Roman" w:cs="Arial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i/>
          <w:sz w:val="24"/>
          <w:szCs w:val="24"/>
        </w:rPr>
        <w:t xml:space="preserve">Луис М.Б. </w:t>
      </w:r>
      <w:proofErr w:type="spellStart"/>
      <w:r w:rsidRPr="00573AAF">
        <w:rPr>
          <w:rFonts w:ascii="Times New Roman" w:hAnsi="Times New Roman" w:cs="Times New Roman"/>
          <w:i/>
          <w:sz w:val="24"/>
          <w:szCs w:val="24"/>
        </w:rPr>
        <w:t>Кабраль</w:t>
      </w:r>
      <w:proofErr w:type="spellEnd"/>
      <w:r w:rsidRPr="00573A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3AAF">
        <w:rPr>
          <w:rFonts w:ascii="Times New Roman" w:hAnsi="Times New Roman" w:cs="Times New Roman"/>
          <w:sz w:val="24"/>
          <w:szCs w:val="24"/>
        </w:rPr>
        <w:t>Организация отраслевых рынков: вводный курс. — Мн.: Новое знание. — 356 с.. 2003.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AAF">
        <w:rPr>
          <w:rFonts w:ascii="Times New Roman" w:hAnsi="Times New Roman" w:cs="Times New Roman"/>
          <w:i/>
          <w:sz w:val="24"/>
          <w:szCs w:val="24"/>
        </w:rPr>
        <w:t>Шаститко</w:t>
      </w:r>
      <w:proofErr w:type="spellEnd"/>
      <w:r w:rsidRPr="00573AAF">
        <w:rPr>
          <w:rFonts w:ascii="Times New Roman" w:hAnsi="Times New Roman" w:cs="Times New Roman"/>
          <w:i/>
          <w:sz w:val="24"/>
          <w:szCs w:val="24"/>
        </w:rPr>
        <w:t xml:space="preserve"> А. Е., </w:t>
      </w:r>
      <w:proofErr w:type="spellStart"/>
      <w:r w:rsidRPr="00573AAF">
        <w:rPr>
          <w:rFonts w:ascii="Times New Roman" w:hAnsi="Times New Roman" w:cs="Times New Roman"/>
          <w:i/>
          <w:sz w:val="24"/>
          <w:szCs w:val="24"/>
        </w:rPr>
        <w:t>Авдашева</w:t>
      </w:r>
      <w:proofErr w:type="spellEnd"/>
      <w:r w:rsidRPr="00573AAF">
        <w:rPr>
          <w:rFonts w:ascii="Times New Roman" w:hAnsi="Times New Roman" w:cs="Times New Roman"/>
          <w:i/>
          <w:sz w:val="24"/>
          <w:szCs w:val="24"/>
        </w:rPr>
        <w:t xml:space="preserve"> С. Б.</w:t>
      </w:r>
      <w:r w:rsidRPr="00573AAF">
        <w:rPr>
          <w:rFonts w:ascii="Times New Roman" w:hAnsi="Times New Roman" w:cs="Times New Roman"/>
          <w:sz w:val="24"/>
          <w:szCs w:val="24"/>
        </w:rPr>
        <w:t xml:space="preserve"> Запрет на установление монопольно высокой цены: экономические основания, варианты и новации антимонопольного законодательства // Экономическая политика. 2009. № 2. С. 39-57.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>Закон РФ «О защите конкуренции» от 26.07.2006 (последняя редакция)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 (последняя редакция)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>Закон о торговле могут поправить в пользу ритейлеров. Газета «Известия» от 11 апреля 2017.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 xml:space="preserve">ФАС признала доминирующее положение </w:t>
      </w:r>
      <w:proofErr w:type="spellStart"/>
      <w:r w:rsidRPr="00573AA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73AAF">
        <w:rPr>
          <w:rFonts w:ascii="Times New Roman" w:hAnsi="Times New Roman" w:cs="Times New Roman"/>
          <w:sz w:val="24"/>
          <w:szCs w:val="24"/>
        </w:rPr>
        <w:t xml:space="preserve"> в России. Газета Ведомости от 16 января 2019 года. 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 xml:space="preserve">ФАС закрыла дело против </w:t>
      </w:r>
      <w:proofErr w:type="spellStart"/>
      <w:r w:rsidRPr="00573AAF">
        <w:rPr>
          <w:rFonts w:ascii="Times New Roman" w:hAnsi="Times New Roman" w:cs="Times New Roman"/>
          <w:sz w:val="24"/>
          <w:szCs w:val="24"/>
        </w:rPr>
        <w:t>Superjob</w:t>
      </w:r>
      <w:proofErr w:type="spellEnd"/>
      <w:r w:rsidRPr="00573AAF">
        <w:rPr>
          <w:rFonts w:ascii="Times New Roman" w:hAnsi="Times New Roman" w:cs="Times New Roman"/>
          <w:sz w:val="24"/>
          <w:szCs w:val="24"/>
        </w:rPr>
        <w:t xml:space="preserve"> и Rabota.ru по обвинениям в ограничении конкуренции. </w:t>
      </w:r>
    </w:p>
    <w:p w:rsidR="002C32E3" w:rsidRPr="00573AAF" w:rsidRDefault="00347935" w:rsidP="002C32E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C32E3" w:rsidRPr="00573AAF">
          <w:rPr>
            <w:rStyle w:val="a3"/>
            <w:rFonts w:ascii="Times New Roman" w:hAnsi="Times New Roman" w:cs="Times New Roman"/>
            <w:sz w:val="24"/>
            <w:szCs w:val="24"/>
          </w:rPr>
          <w:t>https://vc.ru/legal/82861-fas-zakryla-delo-protiv-superjob-i-rabota-ru-po-obvineniyam-v-ogranichenii-konkurencii</w:t>
        </w:r>
      </w:hyperlink>
      <w:r w:rsidR="002C32E3" w:rsidRPr="00573AAF">
        <w:rPr>
          <w:rFonts w:ascii="Times New Roman" w:hAnsi="Times New Roman" w:cs="Times New Roman"/>
          <w:sz w:val="24"/>
          <w:szCs w:val="24"/>
        </w:rPr>
        <w:t xml:space="preserve">  от 12 сентября 2019 года.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 xml:space="preserve">Ритейлеры в Татарстане не подвержены монополии. </w:t>
      </w:r>
      <w:proofErr w:type="spellStart"/>
      <w:r w:rsidRPr="00573AAF">
        <w:rPr>
          <w:rFonts w:ascii="Times New Roman" w:hAnsi="Times New Roman" w:cs="Times New Roman"/>
          <w:sz w:val="24"/>
          <w:szCs w:val="24"/>
        </w:rPr>
        <w:t>KazanFirst</w:t>
      </w:r>
      <w:proofErr w:type="spellEnd"/>
      <w:r w:rsidRPr="00573AAF">
        <w:rPr>
          <w:rFonts w:ascii="Times New Roman" w:hAnsi="Times New Roman" w:cs="Times New Roman"/>
          <w:sz w:val="24"/>
          <w:szCs w:val="24"/>
        </w:rPr>
        <w:t xml:space="preserve"> от 10 августа 2019 года.</w:t>
      </w:r>
    </w:p>
    <w:p w:rsidR="002C32E3" w:rsidRPr="00573AAF" w:rsidRDefault="002C32E3" w:rsidP="002C32E3">
      <w:pPr>
        <w:pStyle w:val="ad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AAF">
        <w:rPr>
          <w:rFonts w:ascii="Times New Roman" w:hAnsi="Times New Roman" w:cs="Times New Roman"/>
          <w:sz w:val="24"/>
          <w:szCs w:val="24"/>
        </w:rPr>
        <w:t>Торговля не поддается подсчету. Газета "Коммерсантъ" №175 от 26.09.2019</w:t>
      </w:r>
    </w:p>
    <w:p w:rsidR="002C32E3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sectPr w:rsidR="002C3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lastRenderedPageBreak/>
        <w:t xml:space="preserve">Проектное задание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№ 11</w:t>
      </w: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по определению рыночной концентрации </w:t>
      </w:r>
    </w:p>
    <w:p w:rsidR="002C32E3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при наличии на рынке группы лиц</w:t>
      </w: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2C32E3" w:rsidRPr="00280340" w:rsidRDefault="002C32E3" w:rsidP="002C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573AAF" w:rsidRDefault="002C32E3" w:rsidP="002C32E3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573AAF">
        <w:rPr>
          <w:rFonts w:eastAsia="Times New Roman" w:cs="Arial"/>
          <w:b/>
          <w:bCs/>
          <w:kern w:val="32"/>
          <w:sz w:val="28"/>
          <w:szCs w:val="28"/>
          <w:lang w:eastAsia="ru-RU"/>
        </w:rPr>
        <w:t xml:space="preserve">Описание проблемы </w:t>
      </w:r>
    </w:p>
    <w:p w:rsidR="002C32E3" w:rsidRPr="00A76E77" w:rsidRDefault="002C32E3" w:rsidP="002C3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анализа рынка к Вам обратилась компания, которая осуществляет перевалку грузов вида 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морские суда.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присутствуют также другие хозяйствующие субъекты (ХС).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573AAF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73AAF">
        <w:rPr>
          <w:rFonts w:eastAsia="Times New Roman" w:cs="Arial"/>
          <w:b/>
          <w:sz w:val="28"/>
          <w:szCs w:val="28"/>
          <w:lang w:eastAsia="ru-RU"/>
        </w:rPr>
        <w:t>Описание задания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Считая грузооборот компаний заданным (таблица 1), оцените рыночную </w:t>
      </w:r>
      <w:r w:rsidRPr="00980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концентрацию</w:t>
      </w:r>
    </w:p>
    <w:p w:rsidR="002C32E3" w:rsidRPr="009810C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товарном рынке, на котором взаимодействует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применив Порядок 220 ФАС России</w:t>
      </w:r>
      <w:r w:rsidRPr="00A76E77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</w:t>
      </w:r>
      <w:r w:rsidR="008B1B31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2C32E3" w:rsidRPr="00A76E77" w:rsidRDefault="008B1B31" w:rsidP="002C32E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</w:t>
      </w:r>
      <w:r w:rsidR="002C32E3"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оварные границы рынка определены как</w:t>
      </w:r>
      <w:r w:rsidR="002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E3"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перевалка грузов вида А в морских портах.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б). ХС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30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3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99,9%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компании аффилированными не являются.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="008B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арифы на перевалку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государством, а остальны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установили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r w:rsidR="008B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году ситуация на рынке существенно изменилась, были скорректированы железнодорожные тарифы и ставки за фрахт. </w:t>
      </w:r>
    </w:p>
    <w:p w:rsidR="002C32E3" w:rsidRPr="00A76E77" w:rsidRDefault="008B1B31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д). г</w:t>
      </w:r>
      <w:r w:rsidR="002C32E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еографические границы: порт 1.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занесите в таблицу 2.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573AAF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 Динамика объёмов перевалки грузов вида А в Порту 1, Порту 2 и Порту 3, которую подсчитал и представил заказчик (</w:t>
      </w:r>
      <w:proofErr w:type="spellStart"/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млн.тонн</w:t>
      </w:r>
      <w:proofErr w:type="spellEnd"/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В порту 1 на рынке действуют четыре </w:t>
      </w:r>
      <w:proofErr w:type="gramStart"/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компании,  в</w:t>
      </w:r>
      <w:proofErr w:type="gramEnd"/>
      <w:r w:rsidRPr="0057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порту 2 – одна, в порту 3 – три.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16"/>
        <w:gridCol w:w="1027"/>
        <w:gridCol w:w="708"/>
        <w:gridCol w:w="709"/>
        <w:gridCol w:w="709"/>
        <w:gridCol w:w="709"/>
        <w:gridCol w:w="850"/>
      </w:tblGrid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992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816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27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708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1</w:t>
            </w:r>
          </w:p>
        </w:tc>
        <w:tc>
          <w:tcPr>
            <w:tcW w:w="992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Хозяйствующий субъект 1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2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3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4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92E39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92E39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2</w:t>
            </w:r>
          </w:p>
        </w:tc>
        <w:tc>
          <w:tcPr>
            <w:tcW w:w="992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5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3</w:t>
            </w:r>
          </w:p>
        </w:tc>
        <w:tc>
          <w:tcPr>
            <w:tcW w:w="992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6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7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8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810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proofErr w:type="gramStart"/>
      <w:r w:rsidRPr="009810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 Результаты</w:t>
      </w:r>
      <w:proofErr w:type="gramEnd"/>
      <w:r w:rsidRPr="009810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расчёта рыночной концентрации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C32E3" w:rsidRPr="00AB10FA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≥1</m:t>
        </m:r>
      </m:oMath>
      <w:r w:rsidRPr="00AB10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участников рынка.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4"/>
        <w:gridCol w:w="1052"/>
        <w:gridCol w:w="992"/>
        <w:gridCol w:w="1134"/>
        <w:gridCol w:w="1134"/>
      </w:tblGrid>
      <w:tr w:rsidR="002C32E3" w:rsidRPr="00D92E39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140">
              <w:rPr>
                <w:rFonts w:ascii="Times New Roman" w:eastAsia="Times New Roman" w:hAnsi="Times New Roman" w:cs="Times New Roman"/>
                <w:lang w:eastAsia="ru-RU"/>
              </w:rPr>
              <w:t>Объём рынка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496140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Рыночная доля 1-го участника рынка</w:t>
            </w: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2E3" w:rsidRPr="00496140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 xml:space="preserve">Рыночная 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2-го</w:t>
            </w: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рынка</w:t>
            </w: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B1B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Рыночная доля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участника рынка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4902D8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рыночной концентрации 1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C32E3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C32E3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C32E3" w:rsidRDefault="002C32E3" w:rsidP="008B1B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4902D8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рыночной концентрации 2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A20CAA" w:rsidTr="0082193C">
        <w:tc>
          <w:tcPr>
            <w:tcW w:w="2235" w:type="dxa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концентрации</w:t>
            </w:r>
          </w:p>
        </w:tc>
        <w:tc>
          <w:tcPr>
            <w:tcW w:w="1134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2E3" w:rsidRPr="00A20CAA" w:rsidTr="0082193C">
        <w:tc>
          <w:tcPr>
            <w:tcW w:w="2235" w:type="dxa"/>
          </w:tcPr>
          <w:p w:rsidR="002C32E3" w:rsidRDefault="002C32E3" w:rsidP="008B1B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Признаки доминирования</w:t>
            </w:r>
          </w:p>
        </w:tc>
        <w:tc>
          <w:tcPr>
            <w:tcW w:w="6520" w:type="dxa"/>
            <w:gridSpan w:val="6"/>
            <w:vAlign w:val="bottom"/>
          </w:tcPr>
          <w:p w:rsidR="002C32E3" w:rsidRPr="00A20CAA" w:rsidRDefault="002C32E3" w:rsidP="008B1B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32E3" w:rsidRPr="00A76E77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выполненному </w:t>
      </w:r>
      <w:r w:rsidRPr="00A76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заданию:</w:t>
      </w:r>
    </w:p>
    <w:p w:rsidR="002C32E3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Наблюдаются ли на рассматриваемом рынке признаки доминирования в соответствии с ст.5 Закона «О защите конкуренции».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2C32E3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полноту информации, ограничения проведённого анализа.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573AAF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73AAF">
        <w:rPr>
          <w:rFonts w:eastAsia="Times New Roman" w:cs="Arial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2C32E3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РФ «О защите конкуренции» от 26.07.2006 (последняя редакция)</w:t>
      </w:r>
    </w:p>
    <w:p w:rsidR="002C32E3" w:rsidRPr="00AD7F0C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0C">
        <w:rPr>
          <w:rFonts w:ascii="Times New Roman" w:hAnsi="Times New Roman" w:cs="Times New Roman"/>
          <w:sz w:val="24"/>
          <w:szCs w:val="24"/>
        </w:rPr>
        <w:t xml:space="preserve">«Порядок проведения анализа состояния конкуренции на товарном рынке" (утвержден Приказом ФАС России от 28.04.2010 N </w:t>
      </w:r>
      <w:proofErr w:type="gramStart"/>
      <w:r w:rsidRPr="00AD7F0C">
        <w:rPr>
          <w:rFonts w:ascii="Times New Roman" w:hAnsi="Times New Roman" w:cs="Times New Roman"/>
          <w:sz w:val="24"/>
          <w:szCs w:val="24"/>
        </w:rPr>
        <w:t>220,  ред.</w:t>
      </w:r>
      <w:proofErr w:type="gramEnd"/>
      <w:r w:rsidRPr="00AD7F0C">
        <w:rPr>
          <w:rFonts w:ascii="Times New Roman" w:hAnsi="Times New Roman" w:cs="Times New Roman"/>
          <w:sz w:val="24"/>
          <w:szCs w:val="24"/>
        </w:rPr>
        <w:t xml:space="preserve"> от 20.07.2016) </w:t>
      </w:r>
    </w:p>
    <w:p w:rsidR="002C32E3" w:rsidRPr="009810CD" w:rsidRDefault="00347935" w:rsidP="002C32E3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C32E3" w:rsidRPr="000051B4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http://www.consultant.ru/document/cons_doc_LAW_103446/</w:t>
        </w:r>
      </w:hyperlink>
      <w:r w:rsidR="002C32E3" w:rsidRPr="0000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анализа рынков услуг по перевалке грузов (услуг стивидоров), проведенного в разное время Федеральной антимонопольной службой и её территориальными управлениями;</w:t>
      </w:r>
      <w:r w:rsidRPr="00267E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транспорта РФ Игорь Левитин на заседании Правительства РФ с докладом на тему «О комплексе мер, направленных на развитие морских портов и портовых особых экономических зон».   Опубликовано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2007.   </w:t>
      </w:r>
      <w:hyperlink r:id="rId39" w:history="1"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mintrans</w:t>
        </w:r>
        <w:proofErr w:type="spellEnd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center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interviews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/19</w:t>
        </w:r>
      </w:hyperlink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стратегия Российской Федерации до 2030 года. Министерство транспорта РФ.  Интернет-адрес: </w:t>
      </w:r>
    </w:p>
    <w:p w:rsidR="002C32E3" w:rsidRPr="00267E0E" w:rsidRDefault="00347935" w:rsidP="002C32E3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2C32E3"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https://www.mintrans.ru/press-center/news/2974</w:t>
        </w:r>
      </w:hyperlink>
    </w:p>
    <w:p w:rsidR="002C32E3" w:rsidRPr="00267E0E" w:rsidRDefault="00347935" w:rsidP="002C32E3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2C32E3"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https://www.mintrans.ru/documents/3/1009</w:t>
        </w:r>
      </w:hyperlink>
      <w:r w:rsidR="002C32E3"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исследования независимых аналитических центров.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E3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sectPr w:rsidR="002C3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E3" w:rsidRPr="00280340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8034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lastRenderedPageBreak/>
        <w:t>Проектное задание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№ 12</w:t>
      </w:r>
      <w:r w:rsidRPr="0028034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по определению 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рынка цифровой платформы</w:t>
      </w:r>
    </w:p>
    <w:p w:rsidR="002C32E3" w:rsidRPr="00280340" w:rsidRDefault="002C32E3" w:rsidP="002C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E73CBD" w:rsidRDefault="002C32E3" w:rsidP="002C32E3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</w:pPr>
      <w:r w:rsidRPr="00E73CBD">
        <w:rPr>
          <w:rFonts w:eastAsia="Times New Roman" w:cs="Times New Roman"/>
          <w:b/>
          <w:bCs/>
          <w:kern w:val="32"/>
          <w:sz w:val="28"/>
          <w:szCs w:val="28"/>
          <w:lang w:eastAsia="ru-RU"/>
        </w:rPr>
        <w:t xml:space="preserve">Описание проблемы </w:t>
      </w:r>
    </w:p>
    <w:p w:rsidR="002C32E3" w:rsidRPr="00E73CBD" w:rsidRDefault="002C32E3" w:rsidP="002C32E3">
      <w:pPr>
        <w:tabs>
          <w:tab w:val="left" w:pos="1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анализа рынка к Вам обратилась компания, управляющая онлайн-платформой. Онлайн-платформа является площадкой для участников рынка. Это особый тип рынка, </w:t>
      </w:r>
      <w:r w:rsidRPr="00E73CBD">
        <w:rPr>
          <w:rFonts w:ascii="Times New Roman" w:hAnsi="Times New Roman" w:cs="Times New Roman"/>
          <w:iCs/>
          <w:sz w:val="24"/>
          <w:szCs w:val="24"/>
        </w:rPr>
        <w:t>структура которого включает определенные стороны и платформу, взаимодействие с которой приносит выгоды всем участникам.</w:t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CBD">
        <w:rPr>
          <w:rFonts w:ascii="Times New Roman" w:hAnsi="Times New Roman" w:cs="Times New Roman"/>
          <w:iCs/>
          <w:sz w:val="24"/>
          <w:szCs w:val="24"/>
        </w:rPr>
        <w:t xml:space="preserve">Полезность участников сторон зависит от доступности комплементарных данному благу товаров, которая, в свою очередь, зависит от количества потребителей. </w:t>
      </w:r>
    </w:p>
    <w:p w:rsidR="002C32E3" w:rsidRPr="00E73CBD" w:rsidRDefault="002C32E3" w:rsidP="002C32E3">
      <w:pPr>
        <w:tabs>
          <w:tab w:val="left" w:pos="1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3CBD">
        <w:rPr>
          <w:rFonts w:ascii="Times New Roman" w:hAnsi="Times New Roman" w:cs="Times New Roman"/>
          <w:iCs/>
          <w:sz w:val="24"/>
          <w:szCs w:val="24"/>
        </w:rPr>
        <w:t>На таких особых рынках выручку можно получить с разных сторон, потому что платформа сопряжена со взаимодействием разных групп потребителей с каждой стороны.</w:t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использования продвинутых бизнес-моделей цифровые платформы получают до 30-40% от стоимости товара в производственной цепочке</w:t>
      </w:r>
      <w:r w:rsidRPr="00E73CBD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оценкам </w:t>
      </w:r>
      <w:proofErr w:type="spellStart"/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Accenture</w:t>
      </w:r>
      <w:proofErr w:type="spellEnd"/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платформы занимают существенную долю в цифровой экономике, причем доля устойчиво растёт</w:t>
      </w:r>
      <w:r w:rsidRPr="00E73CBD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E73CBD" w:rsidRDefault="002C32E3" w:rsidP="002C32E3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3CBD">
        <w:rPr>
          <w:rFonts w:eastAsia="Times New Roman" w:cs="Times New Roman"/>
          <w:b/>
          <w:sz w:val="28"/>
          <w:szCs w:val="28"/>
          <w:lang w:eastAsia="ru-RU"/>
        </w:rPr>
        <w:t>Описание задания</w:t>
      </w:r>
    </w:p>
    <w:p w:rsidR="002C32E3" w:rsidRPr="00E73CB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определите рынок, на котором взаимодействует компания, упомянутая в кейсе. Учтите, что продуктовые границы такого рынка можно определить по-разному, например:</w:t>
      </w:r>
    </w:p>
    <w:p w:rsidR="002C32E3" w:rsidRPr="00E73CBD" w:rsidRDefault="002C32E3" w:rsidP="002C32E3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за пределами данной платформы не обращается. Рынок существует только вокруг данной платформы.</w:t>
      </w:r>
    </w:p>
    <w:p w:rsidR="002C32E3" w:rsidRPr="00E73CBD" w:rsidRDefault="002C32E3" w:rsidP="002C32E3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обращается только на некоторых онлайн-платформах. Рынок включает не одну платформу, а две или несколько.</w:t>
      </w:r>
    </w:p>
    <w:p w:rsidR="002C32E3" w:rsidRPr="00E73CBD" w:rsidRDefault="002C32E3" w:rsidP="002C32E3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можно получить только в онлайн. Рынок включает в себя не только некоторые онлайн-платформы, но и другие сайты.</w:t>
      </w:r>
    </w:p>
    <w:p w:rsidR="002C32E3" w:rsidRPr="00E73CBD" w:rsidRDefault="002C32E3" w:rsidP="002C32E3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обращается как в онлайн, так и в офлайн. </w:t>
      </w:r>
    </w:p>
    <w:p w:rsidR="002C32E3" w:rsidRPr="00E73CBD" w:rsidRDefault="002C32E3" w:rsidP="002C32E3">
      <w:pPr>
        <w:spacing w:after="0" w:line="360" w:lineRule="auto"/>
        <w:jc w:val="both"/>
        <w:rPr>
          <w:sz w:val="24"/>
          <w:szCs w:val="24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задания изучите существующую практику ФАС России и зарубежных антимонопольных органов. Оцените, насколько существенно изменились бы доли участников рынка, если бы границы были проведены по-другому или расчет долей </w:t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проводился другим образом. С опорой на собранную базу выделите и обоснуйте возможные границы рынка, круг участников рынка и временной интервал исследования. Также рассмотрите возможность определения географических границ цифровой платформы в глобальной сети.  По возможности, используйте Порядок 220 ФАС России</w:t>
      </w:r>
      <w:r w:rsidRPr="00E73CBD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2E3" w:rsidRPr="00E73CB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полноту и надежность использованных источников информации, возможные неточности.  Все выводы и оценки в ходе решения задания должны быть обоснованы!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E73CBD" w:rsidRDefault="002C32E3" w:rsidP="002C32E3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3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3CBD">
        <w:rPr>
          <w:rFonts w:eastAsia="Times New Roman" w:cs="Times New Roman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2C32E3" w:rsidRPr="004D1CEE" w:rsidRDefault="002C32E3" w:rsidP="002C32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Intermediate Microeconomics, A Modern Approach. — 8th Edition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4D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4D1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</w:t>
      </w:r>
      <w:r w:rsidRPr="004D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fac</w:t>
        </w:r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ksu</w:t>
        </w:r>
        <w:proofErr w:type="spellEnd"/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</w:t>
        </w:r>
        <w:proofErr w:type="spellEnd"/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sites</w:t>
        </w:r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default</w:t>
        </w:r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files</w:t>
        </w:r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microeco</w:t>
        </w:r>
        <w:proofErr w:type="spellEnd"/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-_</w:t>
        </w:r>
        <w:proofErr w:type="spellStart"/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varian</w:t>
        </w:r>
        <w:proofErr w:type="spellEnd"/>
        <w:r w:rsidRPr="004D1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5F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Pr="004D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2E3" w:rsidRPr="00326608" w:rsidRDefault="002C32E3" w:rsidP="002C32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26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Thomas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6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Eisenmann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26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Geoffrey</w:t>
      </w:r>
      <w:r w:rsidRPr="005A5F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26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Parkey</w:t>
      </w:r>
      <w:proofErr w:type="spellEnd"/>
      <w:r w:rsidRPr="00326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Marshall W. Van Alstyne, "Strategies for Two-Sided Markets", 2006.</w:t>
      </w:r>
    </w:p>
    <w:p w:rsidR="002C32E3" w:rsidRPr="00281C54" w:rsidRDefault="002C32E3" w:rsidP="002C32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B9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B9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Шаститко</w:t>
      </w:r>
      <w:proofErr w:type="spellEnd"/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Доминирование на рынке справочных правовых систем: опыт 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// Вопросы экономики, №</w:t>
      </w:r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11, Ноябрь 2007.</w:t>
      </w:r>
    </w:p>
    <w:p w:rsidR="002C32E3" w:rsidRPr="00281C54" w:rsidRDefault="002C32E3" w:rsidP="002C32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защите конкуренции» от 26.07.2006 (последняя редакция)</w:t>
      </w:r>
    </w:p>
    <w:p w:rsidR="002C32E3" w:rsidRPr="006203A4" w:rsidRDefault="002C32E3" w:rsidP="002C32E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исследования независимых аналитических центров.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E3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sectPr w:rsidR="002C3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lastRenderedPageBreak/>
        <w:t xml:space="preserve">Проектное задание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№ 13</w:t>
      </w: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по определению рыночной концентрации </w:t>
      </w:r>
    </w:p>
    <w:p w:rsidR="002C32E3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E7555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при наличии на рынке группы лиц</w:t>
      </w:r>
    </w:p>
    <w:p w:rsidR="002C32E3" w:rsidRPr="00BE7555" w:rsidRDefault="002C32E3" w:rsidP="002C32E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2C32E3" w:rsidRPr="00280340" w:rsidRDefault="002C32E3" w:rsidP="002C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DD7452" w:rsidRDefault="002C32E3" w:rsidP="002C32E3">
      <w:pPr>
        <w:keepNext/>
        <w:spacing w:before="240" w:after="60" w:line="240" w:lineRule="auto"/>
        <w:outlineLvl w:val="0"/>
        <w:rPr>
          <w:rFonts w:eastAsia="Times New Roman" w:cs="Arial"/>
          <w:b/>
          <w:bCs/>
          <w:kern w:val="32"/>
          <w:sz w:val="28"/>
          <w:szCs w:val="28"/>
          <w:lang w:eastAsia="ru-RU"/>
        </w:rPr>
      </w:pPr>
      <w:r w:rsidRPr="00DD7452">
        <w:rPr>
          <w:rFonts w:eastAsia="Times New Roman" w:cs="Arial"/>
          <w:b/>
          <w:bCs/>
          <w:kern w:val="32"/>
          <w:sz w:val="28"/>
          <w:szCs w:val="28"/>
          <w:lang w:eastAsia="ru-RU"/>
        </w:rPr>
        <w:t xml:space="preserve">Описание проблемы </w:t>
      </w:r>
    </w:p>
    <w:p w:rsidR="002C32E3" w:rsidRPr="00A76E77" w:rsidRDefault="002C32E3" w:rsidP="002C3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анализа рынка к Вам обратилась компания, которая осуществляет перевалку грузов вида </w:t>
      </w:r>
      <w:r w:rsidRPr="00A76E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морские суда.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присутствуют также другие хозяйствующие субъекты (ХС).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DD7452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DD7452">
        <w:rPr>
          <w:rFonts w:eastAsia="Times New Roman" w:cs="Arial"/>
          <w:b/>
          <w:sz w:val="28"/>
          <w:szCs w:val="28"/>
          <w:lang w:eastAsia="ru-RU"/>
        </w:rPr>
        <w:t>Описание задания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Считая грузооборот компаний заданным (таблица 1), оцените рыночную </w:t>
      </w:r>
      <w:r w:rsidRPr="00980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концентрацию</w:t>
      </w:r>
    </w:p>
    <w:p w:rsidR="002C32E3" w:rsidRPr="009810C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товарном рынке, на котором взаимодействует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применив Порядок 220 ФАС России</w:t>
      </w:r>
      <w:r w:rsidRPr="00A76E77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8B1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предполагая:</w:t>
      </w:r>
    </w:p>
    <w:p w:rsidR="002C32E3" w:rsidRPr="00A76E77" w:rsidRDefault="002C32E3" w:rsidP="002C32E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Товарные границы рынка определены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перевалка грузов вида А в морских портах.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б). ХС</w:t>
      </w:r>
      <w:proofErr w:type="gramStart"/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30D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3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gramEnd"/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99,9%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компании аффилированными не являются.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перевалку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ХС</w:t>
      </w:r>
      <w:r w:rsidRPr="00A76E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государством, а остальны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установили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ситуация на рынке существенно изменилась, были скорректированы железнодорожные тарифы и ставки за фрахт. </w:t>
      </w:r>
    </w:p>
    <w:p w:rsidR="002C32E3" w:rsidRPr="00A76E77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д). 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незамерзающим портом РФ.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занесите в таблицу 2.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6C697E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 Динамика объёмов перевалки грузов вида А в Порту 1, Порту 2 и Порту 3, которую подсчитал и представил заказчик (</w:t>
      </w:r>
      <w:proofErr w:type="spellStart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млн.тонн</w:t>
      </w:r>
      <w:proofErr w:type="spellEnd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В порту 1 на рынке действуют четыре </w:t>
      </w:r>
      <w:proofErr w:type="gramStart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компании,  в</w:t>
      </w:r>
      <w:proofErr w:type="gramEnd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порту 2 – одна, в порту 3 – три.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16"/>
        <w:gridCol w:w="1027"/>
        <w:gridCol w:w="708"/>
        <w:gridCol w:w="709"/>
        <w:gridCol w:w="709"/>
        <w:gridCol w:w="709"/>
        <w:gridCol w:w="850"/>
      </w:tblGrid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992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816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27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708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1</w:t>
            </w:r>
          </w:p>
        </w:tc>
        <w:tc>
          <w:tcPr>
            <w:tcW w:w="992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C32E3" w:rsidRPr="00D92E39" w:rsidRDefault="002C32E3" w:rsidP="008219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1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Хозяйствующий субъект 2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3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4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92E39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92E39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2</w:t>
            </w:r>
          </w:p>
        </w:tc>
        <w:tc>
          <w:tcPr>
            <w:tcW w:w="992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5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59E">
              <w:rPr>
                <w:rFonts w:ascii="Times New Roman" w:eastAsia="Times New Roman" w:hAnsi="Times New Roman" w:cs="Times New Roman"/>
                <w:lang w:eastAsia="ru-RU"/>
              </w:rPr>
              <w:t>Порт 3</w:t>
            </w:r>
          </w:p>
        </w:tc>
        <w:tc>
          <w:tcPr>
            <w:tcW w:w="992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6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7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32E3" w:rsidTr="0082193C">
        <w:tc>
          <w:tcPr>
            <w:tcW w:w="2235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Хозяйствующий субъект 8</w:t>
            </w: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16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27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08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50" w:type="dxa"/>
            <w:vAlign w:val="bottom"/>
          </w:tcPr>
          <w:p w:rsidR="002C32E3" w:rsidRPr="00D92E39" w:rsidRDefault="002C32E3" w:rsidP="0082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32E3" w:rsidRPr="006C697E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proofErr w:type="gramStart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 Результаты</w:t>
      </w:r>
      <w:proofErr w:type="gramEnd"/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расчёта рыночной концентрации</w:t>
      </w:r>
    </w:p>
    <w:p w:rsidR="002C32E3" w:rsidRPr="006C697E" w:rsidRDefault="002C32E3" w:rsidP="002C32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74"/>
        <w:gridCol w:w="1052"/>
        <w:gridCol w:w="992"/>
        <w:gridCol w:w="1134"/>
        <w:gridCol w:w="1134"/>
      </w:tblGrid>
      <w:tr w:rsidR="002C32E3" w:rsidRPr="00D92E39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E3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140">
              <w:rPr>
                <w:rFonts w:ascii="Times New Roman" w:eastAsia="Times New Roman" w:hAnsi="Times New Roman" w:cs="Times New Roman"/>
                <w:lang w:eastAsia="ru-RU"/>
              </w:rPr>
              <w:t>Объём рынка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496140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Рыночная доля 1-го участника рынка</w:t>
            </w: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2E3" w:rsidRPr="00496140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 xml:space="preserve">Рыночная доля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2-го</w:t>
            </w: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рынка</w:t>
            </w: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496140" w:rsidRDefault="002C32E3" w:rsidP="008219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Рыночная доля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9810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участника рынка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Tr="0082193C">
        <w:tc>
          <w:tcPr>
            <w:tcW w:w="2235" w:type="dxa"/>
          </w:tcPr>
          <w:p w:rsidR="002C32E3" w:rsidRPr="004902D8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рыночной концентрации 1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C32E3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C32E3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C32E3" w:rsidRDefault="002C32E3" w:rsidP="0082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2E3" w:rsidRPr="00D92E39" w:rsidTr="0082193C">
        <w:tc>
          <w:tcPr>
            <w:tcW w:w="2235" w:type="dxa"/>
          </w:tcPr>
          <w:p w:rsidR="002C32E3" w:rsidRPr="004902D8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рыночной концентрации 2</w:t>
            </w: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D92E39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3" w:rsidRPr="00A20CAA" w:rsidTr="0082193C">
        <w:tc>
          <w:tcPr>
            <w:tcW w:w="2235" w:type="dxa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концентрации</w:t>
            </w:r>
          </w:p>
        </w:tc>
        <w:tc>
          <w:tcPr>
            <w:tcW w:w="1134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2E3" w:rsidRPr="00A20CAA" w:rsidTr="0082193C">
        <w:tc>
          <w:tcPr>
            <w:tcW w:w="2235" w:type="dxa"/>
          </w:tcPr>
          <w:p w:rsidR="002C32E3" w:rsidRDefault="002C32E3" w:rsidP="008219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Признаки доминирования</w:t>
            </w:r>
          </w:p>
        </w:tc>
        <w:tc>
          <w:tcPr>
            <w:tcW w:w="6520" w:type="dxa"/>
            <w:gridSpan w:val="6"/>
            <w:vAlign w:val="bottom"/>
          </w:tcPr>
          <w:p w:rsidR="002C32E3" w:rsidRPr="00A20CAA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≥1</m:t>
        </m:r>
      </m:oMath>
      <w:r w:rsidRPr="006C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697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 участников рынка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32E3" w:rsidRPr="00A76E77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к </w:t>
      </w:r>
      <w:r w:rsidRPr="00A76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заданию:</w:t>
      </w:r>
    </w:p>
    <w:p w:rsidR="002C32E3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ли на рассматриваемом рынке признаки доминирования в соответствии с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Закона «О защите конкуренции»?</w:t>
      </w:r>
      <w:r w:rsidRPr="00A7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2C32E3" w:rsidRDefault="002C32E3" w:rsidP="002C32E3">
      <w:pPr>
        <w:pStyle w:val="a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полноту информации, ограничения проведённого анализа.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DD7452" w:rsidRDefault="002C32E3" w:rsidP="002C32E3">
      <w:pPr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DD7452">
        <w:rPr>
          <w:rFonts w:eastAsia="Times New Roman" w:cs="Arial"/>
          <w:b/>
          <w:sz w:val="28"/>
          <w:szCs w:val="28"/>
          <w:lang w:eastAsia="ru-RU"/>
        </w:rPr>
        <w:t>Рекомендуемая литература и источники данных</w:t>
      </w:r>
    </w:p>
    <w:p w:rsidR="002C32E3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защите конкуренции» от 26.07.2006 (последняя редакция)</w:t>
      </w:r>
    </w:p>
    <w:p w:rsidR="002C32E3" w:rsidRPr="00AD7F0C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0C">
        <w:rPr>
          <w:rFonts w:ascii="Times New Roman" w:hAnsi="Times New Roman" w:cs="Times New Roman"/>
          <w:sz w:val="24"/>
          <w:szCs w:val="24"/>
        </w:rPr>
        <w:lastRenderedPageBreak/>
        <w:t xml:space="preserve">«Порядок проведения анализа состояния конкуренции на товарном рынке" (утвержден Приказом ФАС России от 28.04.2010 N </w:t>
      </w:r>
      <w:proofErr w:type="gramStart"/>
      <w:r w:rsidRPr="00AD7F0C">
        <w:rPr>
          <w:rFonts w:ascii="Times New Roman" w:hAnsi="Times New Roman" w:cs="Times New Roman"/>
          <w:sz w:val="24"/>
          <w:szCs w:val="24"/>
        </w:rPr>
        <w:t>220,  ред.</w:t>
      </w:r>
      <w:proofErr w:type="gramEnd"/>
      <w:r w:rsidRPr="00AD7F0C">
        <w:rPr>
          <w:rFonts w:ascii="Times New Roman" w:hAnsi="Times New Roman" w:cs="Times New Roman"/>
          <w:sz w:val="24"/>
          <w:szCs w:val="24"/>
        </w:rPr>
        <w:t xml:space="preserve"> от 20.07.2016) </w:t>
      </w:r>
    </w:p>
    <w:p w:rsidR="002C32E3" w:rsidRPr="009810CD" w:rsidRDefault="00347935" w:rsidP="002C32E3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C32E3" w:rsidRPr="000051B4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http://www.consultant.ru/document/cons_doc_LAW_103446/</w:t>
        </w:r>
      </w:hyperlink>
      <w:r w:rsidR="002C32E3" w:rsidRPr="0000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анализа рынков услуг по перевалке грузов (услуг стивидоров), проведенного в разное время Федеральной антимонопольной службой и её территориальными управлениями;</w:t>
      </w:r>
      <w:r w:rsidRPr="00267E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транспорта РФ Игорь Левитин на заседании Правительства РФ с докладом на тему «О комплексе мер, направленных на развитие морских портов и портовых особых экономических зон».   Опубликовано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ентября 2007.   </w:t>
      </w:r>
      <w:hyperlink r:id="rId44" w:history="1"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mintrans</w:t>
        </w:r>
        <w:proofErr w:type="spellEnd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press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center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interviews</w:t>
        </w:r>
        <w:r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/19</w:t>
        </w:r>
      </w:hyperlink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стратегия Российской Федерации до 2030 года. Министерство транспорта РФ.  Интернет-адрес: </w:t>
      </w:r>
    </w:p>
    <w:p w:rsidR="002C32E3" w:rsidRPr="00267E0E" w:rsidRDefault="00347935" w:rsidP="002C32E3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2C32E3"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https://www.mintrans.ru/press-center/news/2974</w:t>
        </w:r>
      </w:hyperlink>
    </w:p>
    <w:p w:rsidR="002C32E3" w:rsidRPr="00267E0E" w:rsidRDefault="00347935" w:rsidP="002C32E3">
      <w:pPr>
        <w:pStyle w:val="a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2C32E3" w:rsidRPr="00267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https://www.mintrans.ru/documents/3/1009</w:t>
        </w:r>
      </w:hyperlink>
      <w:r w:rsidR="002C32E3"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2E3" w:rsidRPr="00267E0E" w:rsidRDefault="002C32E3" w:rsidP="002C32E3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исследования независимых аналитических центров.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E3" w:rsidRDefault="002C32E3" w:rsidP="002C3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C3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E3" w:rsidRPr="0053588C" w:rsidRDefault="002C32E3" w:rsidP="002C3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C">
        <w:rPr>
          <w:rFonts w:ascii="Times New Roman" w:hAnsi="Times New Roman" w:cs="Times New Roman"/>
          <w:b/>
          <w:sz w:val="28"/>
          <w:szCs w:val="28"/>
        </w:rPr>
        <w:lastRenderedPageBreak/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Pr="005358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монопольно высокой цене</w:t>
      </w:r>
    </w:p>
    <w:p w:rsidR="002C32E3" w:rsidRPr="002B4D98" w:rsidRDefault="002C32E3" w:rsidP="002C32E3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B4D98">
        <w:rPr>
          <w:rFonts w:ascii="Times New Roman" w:hAnsi="Times New Roman" w:cs="Times New Roman"/>
          <w:b/>
          <w:sz w:val="26"/>
          <w:szCs w:val="26"/>
        </w:rPr>
        <w:t>Описание проблемы</w:t>
      </w:r>
    </w:p>
    <w:p w:rsidR="002C32E3" w:rsidRPr="0036211A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1A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России (далее –УФАС) проводит расследование в отношении компании, которая взимает плату за проезд по своей территории, пользуясь тем, что её земельный участок со всех сторон окружает участки других организаций и физических лиц.</w:t>
      </w:r>
    </w:p>
    <w:p w:rsidR="002C32E3" w:rsidRPr="002B4D98" w:rsidRDefault="002C32E3" w:rsidP="002C32E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задания</w:t>
      </w:r>
    </w:p>
    <w:p w:rsidR="002C32E3" w:rsidRPr="0072283D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sz w:val="24"/>
          <w:szCs w:val="24"/>
        </w:rPr>
        <w:t>К Вам обратилось заинтересованное лицо по делу и предложило провести анализ действий обвиняемой компании.</w:t>
      </w:r>
    </w:p>
    <w:p w:rsidR="002C32E3" w:rsidRPr="0072283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</w:t>
      </w:r>
    </w:p>
    <w:p w:rsidR="002C32E3" w:rsidRPr="0072283D" w:rsidRDefault="002C32E3" w:rsidP="002C32E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«Внутри» участка компании располагается десять земельных участков, за проезд к которым взимается плата.</w:t>
      </w:r>
    </w:p>
    <w:p w:rsidR="002C32E3" w:rsidRPr="0072283D" w:rsidRDefault="002C32E3" w:rsidP="002C32E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Проехать на свою территорию иначе как через шлагбаум обвиняемой компании возможности нет.</w:t>
      </w:r>
    </w:p>
    <w:p w:rsidR="002C32E3" w:rsidRPr="0072283D" w:rsidRDefault="002C32E3" w:rsidP="002C32E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указан в таблице 1.</w:t>
      </w:r>
    </w:p>
    <w:p w:rsidR="002C32E3" w:rsidRPr="0072283D" w:rsidRDefault="002C32E3" w:rsidP="002C32E3">
      <w:pPr>
        <w:pStyle w:val="ad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обвиняемой компании указана в таблице 2.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973BCA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 платы за проезд через земельный участок обвиняемой компании.</w:t>
      </w:r>
    </w:p>
    <w:tbl>
      <w:tblPr>
        <w:tblStyle w:val="ae"/>
        <w:tblW w:w="9203" w:type="dxa"/>
        <w:tblInd w:w="119" w:type="dxa"/>
        <w:tblLook w:val="04A0" w:firstRow="1" w:lastRow="0" w:firstColumn="1" w:lastColumn="0" w:noHBand="0" w:noVBand="1"/>
      </w:tblPr>
      <w:tblGrid>
        <w:gridCol w:w="3363"/>
        <w:gridCol w:w="3086"/>
        <w:gridCol w:w="2754"/>
      </w:tblGrid>
      <w:tr w:rsidR="002C32E3" w:rsidRPr="002B4D98" w:rsidTr="0082193C">
        <w:tc>
          <w:tcPr>
            <w:tcW w:w="3363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</w:p>
        </w:tc>
        <w:tc>
          <w:tcPr>
            <w:tcW w:w="308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01.01.2016 до 31.12.2017</w:t>
            </w:r>
          </w:p>
        </w:tc>
        <w:tc>
          <w:tcPr>
            <w:tcW w:w="2754" w:type="dxa"/>
          </w:tcPr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01.01.2018</w:t>
            </w:r>
          </w:p>
        </w:tc>
      </w:tr>
      <w:tr w:rsidR="002C32E3" w:rsidRPr="002B4D98" w:rsidTr="0082193C">
        <w:tc>
          <w:tcPr>
            <w:tcW w:w="3363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Единоразовая  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легковых автомобилей 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грузовых автомобилей</w:t>
            </w:r>
          </w:p>
        </w:tc>
        <w:tc>
          <w:tcPr>
            <w:tcW w:w="3086" w:type="dxa"/>
            <w:vAlign w:val="center"/>
          </w:tcPr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рублей</w:t>
            </w:r>
          </w:p>
        </w:tc>
        <w:tc>
          <w:tcPr>
            <w:tcW w:w="2754" w:type="dxa"/>
            <w:vAlign w:val="center"/>
          </w:tcPr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</w:t>
            </w:r>
          </w:p>
        </w:tc>
      </w:tr>
      <w:tr w:rsidR="002C32E3" w:rsidRPr="002B4D98" w:rsidTr="0082193C">
        <w:tc>
          <w:tcPr>
            <w:tcW w:w="3363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1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2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3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4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5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7</w:t>
            </w:r>
          </w:p>
        </w:tc>
        <w:tc>
          <w:tcPr>
            <w:tcW w:w="3086" w:type="dxa"/>
          </w:tcPr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рублей</w:t>
            </w:r>
          </w:p>
          <w:p w:rsidR="002C32E3" w:rsidRPr="002B4D98" w:rsidRDefault="002C32E3" w:rsidP="00821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2E3" w:rsidRPr="002B4D98" w:rsidTr="0082193C">
        <w:trPr>
          <w:trHeight w:val="1238"/>
        </w:trPr>
        <w:tc>
          <w:tcPr>
            <w:tcW w:w="3363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компании 8</w:t>
            </w:r>
          </w:p>
        </w:tc>
        <w:tc>
          <w:tcPr>
            <w:tcW w:w="308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1000 рублей за каждые 20 заездов</w:t>
            </w:r>
          </w:p>
        </w:tc>
        <w:tc>
          <w:tcPr>
            <w:tcW w:w="2754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1000 рублей за каждые 15 заездов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2E3" w:rsidRPr="00973BCA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2. Динамика выручки и рентабельности обвиняемой компании.</w:t>
      </w:r>
    </w:p>
    <w:tbl>
      <w:tblPr>
        <w:tblStyle w:val="ae"/>
        <w:tblW w:w="0" w:type="auto"/>
        <w:tblInd w:w="119" w:type="dxa"/>
        <w:tblLook w:val="04A0" w:firstRow="1" w:lastRow="0" w:firstColumn="1" w:lastColumn="0" w:noHBand="0" w:noVBand="1"/>
      </w:tblPr>
      <w:tblGrid>
        <w:gridCol w:w="2257"/>
        <w:gridCol w:w="1985"/>
        <w:gridCol w:w="2268"/>
        <w:gridCol w:w="2126"/>
      </w:tblGrid>
      <w:tr w:rsidR="002C32E3" w:rsidRPr="002B4D98" w:rsidTr="0082193C">
        <w:tc>
          <w:tcPr>
            <w:tcW w:w="2257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8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32E3" w:rsidRPr="002B4D98" w:rsidTr="0082193C">
        <w:tc>
          <w:tcPr>
            <w:tcW w:w="2257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платы за проезд</w:t>
            </w:r>
          </w:p>
        </w:tc>
        <w:tc>
          <w:tcPr>
            <w:tcW w:w="1985" w:type="dxa"/>
            <w:vAlign w:val="center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тысяч рублей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тысяч рублей</w:t>
            </w:r>
          </w:p>
        </w:tc>
        <w:tc>
          <w:tcPr>
            <w:tcW w:w="212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2C32E3" w:rsidRPr="002B4D98" w:rsidTr="0082193C">
        <w:tc>
          <w:tcPr>
            <w:tcW w:w="2257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обвиняемой компании общая</w:t>
            </w:r>
          </w:p>
        </w:tc>
        <w:tc>
          <w:tcPr>
            <w:tcW w:w="1985" w:type="dxa"/>
            <w:vAlign w:val="center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534,695 миллионов рублей</w:t>
            </w:r>
          </w:p>
        </w:tc>
        <w:tc>
          <w:tcPr>
            <w:tcW w:w="2268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450,972 миллионов рублей</w:t>
            </w:r>
          </w:p>
        </w:tc>
        <w:tc>
          <w:tcPr>
            <w:tcW w:w="212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403,463 </w:t>
            </w:r>
          </w:p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миллионов рублей</w:t>
            </w:r>
          </w:p>
        </w:tc>
      </w:tr>
      <w:tr w:rsidR="002C32E3" w:rsidRPr="002B4D98" w:rsidTr="0082193C">
        <w:tc>
          <w:tcPr>
            <w:tcW w:w="2257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компании</w:t>
            </w:r>
          </w:p>
        </w:tc>
        <w:tc>
          <w:tcPr>
            <w:tcW w:w="1985" w:type="dxa"/>
            <w:vAlign w:val="center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268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126" w:type="dxa"/>
          </w:tcPr>
          <w:p w:rsidR="002C32E3" w:rsidRPr="002B4D98" w:rsidRDefault="002C32E3" w:rsidP="0082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</w:tbl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72283D" w:rsidRDefault="002C32E3" w:rsidP="002C32E3">
      <w:pPr>
        <w:spacing w:after="0" w:line="360" w:lineRule="auto"/>
        <w:jc w:val="both"/>
        <w:rPr>
          <w:sz w:val="24"/>
          <w:szCs w:val="24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границ рынка используйте тест гипотетического </w:t>
      </w:r>
      <w:proofErr w:type="gramStart"/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монополиста  и</w:t>
      </w:r>
      <w:proofErr w:type="gramEnd"/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220 ФАС России</w:t>
      </w:r>
      <w:r w:rsidRPr="0072283D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83D">
        <w:rPr>
          <w:sz w:val="24"/>
          <w:szCs w:val="24"/>
        </w:rPr>
        <w:t xml:space="preserve"> </w:t>
      </w:r>
    </w:p>
    <w:p w:rsidR="002C32E3" w:rsidRPr="0072283D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 гипотетического монополиста предполагает, что границы рынка определены верно, если контрагент не может переключиться на поставки, альтернативные поставкам монополиста, при повышении цены на 10%. В этом случае определение границ рынка осуществляется для того участника сделки, который обладает меньшими возможностями переключения на альтернативного контрагента. В данном случае, таким участником рынка выступает покупатель услуг.</w:t>
      </w:r>
    </w:p>
    <w:p w:rsidR="002C32E3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2E3" w:rsidRPr="002B4D98" w:rsidRDefault="002C32E3" w:rsidP="002C32E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4D9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Вопросы к выполненному заданию:</w:t>
      </w:r>
    </w:p>
    <w:p w:rsidR="002C32E3" w:rsidRPr="0072283D" w:rsidRDefault="002C32E3" w:rsidP="002C3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установленная обвиняемой компанией плата за проезд монопольно высокой в соответствии с ст. 6 Закона «О защите конкуренции». Обоснуйте свой ответ.</w:t>
      </w:r>
    </w:p>
    <w:p w:rsidR="002C32E3" w:rsidRPr="0072283D" w:rsidRDefault="002C32E3" w:rsidP="002C32E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полноту и надежность использованных источников информации, возможные неточности. Все выводы в ходе решения задания должны быть обоснованы! </w:t>
      </w:r>
    </w:p>
    <w:p w:rsidR="002C32E3" w:rsidRDefault="002C32E3" w:rsidP="002C32E3">
      <w:pPr>
        <w:spacing w:line="360" w:lineRule="auto"/>
        <w:jc w:val="both"/>
        <w:rPr>
          <w:b/>
          <w:sz w:val="28"/>
          <w:szCs w:val="28"/>
        </w:rPr>
      </w:pPr>
    </w:p>
    <w:p w:rsidR="002C32E3" w:rsidRPr="0036211A" w:rsidRDefault="002C32E3" w:rsidP="002C32E3">
      <w:pPr>
        <w:spacing w:line="360" w:lineRule="auto"/>
        <w:jc w:val="both"/>
        <w:rPr>
          <w:b/>
          <w:sz w:val="28"/>
          <w:szCs w:val="28"/>
        </w:rPr>
      </w:pPr>
      <w:r w:rsidRPr="0036211A">
        <w:rPr>
          <w:b/>
          <w:sz w:val="28"/>
          <w:szCs w:val="28"/>
        </w:rPr>
        <w:t>Рекомендуема</w:t>
      </w:r>
      <w:r>
        <w:rPr>
          <w:b/>
          <w:sz w:val="28"/>
          <w:szCs w:val="28"/>
        </w:rPr>
        <w:t>я литература и источники данных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i/>
          <w:sz w:val="24"/>
          <w:szCs w:val="24"/>
        </w:rPr>
        <w:t xml:space="preserve">Луис М.Б. </w:t>
      </w:r>
      <w:proofErr w:type="spellStart"/>
      <w:r w:rsidRPr="0072283D">
        <w:rPr>
          <w:rFonts w:ascii="Times New Roman" w:hAnsi="Times New Roman" w:cs="Times New Roman"/>
          <w:i/>
          <w:sz w:val="24"/>
          <w:szCs w:val="24"/>
        </w:rPr>
        <w:t>Кабраль</w:t>
      </w:r>
      <w:proofErr w:type="spellEnd"/>
      <w:r w:rsidRPr="007228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283D">
        <w:rPr>
          <w:rFonts w:ascii="Times New Roman" w:hAnsi="Times New Roman" w:cs="Times New Roman"/>
          <w:sz w:val="24"/>
          <w:szCs w:val="24"/>
        </w:rPr>
        <w:t>Организация отраслевых рынков: вводный курс. — Мн.: Новое знание. — 356 с.. 2003.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83D">
        <w:rPr>
          <w:rFonts w:ascii="Times New Roman" w:hAnsi="Times New Roman" w:cs="Times New Roman"/>
          <w:i/>
          <w:sz w:val="24"/>
          <w:szCs w:val="24"/>
        </w:rPr>
        <w:t>Шаститко</w:t>
      </w:r>
      <w:proofErr w:type="spellEnd"/>
      <w:r w:rsidRPr="0072283D">
        <w:rPr>
          <w:rFonts w:ascii="Times New Roman" w:hAnsi="Times New Roman" w:cs="Times New Roman"/>
          <w:i/>
          <w:sz w:val="24"/>
          <w:szCs w:val="24"/>
        </w:rPr>
        <w:t xml:space="preserve"> А. Е., </w:t>
      </w:r>
      <w:proofErr w:type="spellStart"/>
      <w:r w:rsidRPr="0072283D">
        <w:rPr>
          <w:rFonts w:ascii="Times New Roman" w:hAnsi="Times New Roman" w:cs="Times New Roman"/>
          <w:i/>
          <w:sz w:val="24"/>
          <w:szCs w:val="24"/>
        </w:rPr>
        <w:t>Авдашева</w:t>
      </w:r>
      <w:proofErr w:type="spellEnd"/>
      <w:r w:rsidRPr="0072283D">
        <w:rPr>
          <w:rFonts w:ascii="Times New Roman" w:hAnsi="Times New Roman" w:cs="Times New Roman"/>
          <w:i/>
          <w:sz w:val="24"/>
          <w:szCs w:val="24"/>
        </w:rPr>
        <w:t xml:space="preserve"> С. Б.</w:t>
      </w:r>
      <w:r w:rsidRPr="0072283D">
        <w:rPr>
          <w:rFonts w:ascii="Times New Roman" w:hAnsi="Times New Roman" w:cs="Times New Roman"/>
          <w:sz w:val="24"/>
          <w:szCs w:val="24"/>
        </w:rPr>
        <w:t xml:space="preserve"> Запрет на установление монопольно высокой цены: экономические основания, варианты и новации антимонопольного законодательства // Экономическая политика. 2009. № 2. С. 39-57.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sz w:val="24"/>
          <w:szCs w:val="24"/>
        </w:rPr>
        <w:lastRenderedPageBreak/>
        <w:t>ФЗ от 26.07.2006 № 135-ФЗ «О защите конкуренции» (последняя редакция)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sz w:val="24"/>
          <w:szCs w:val="24"/>
        </w:rPr>
        <w:t>Разъяснение № 1 Президиума Федеральной антимонопольной службы «Определение монопольно высокой и монопольно низкой цены товара» (утв. протоколом Федеральной антимонопольной службы от 10 февраля 2016 г. № 2). Доступ из справочно-правовой системы «Гарант».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sz w:val="24"/>
          <w:szCs w:val="24"/>
        </w:rPr>
        <w:t xml:space="preserve">Управление ФАС России оштрафовало АО «Воронежская </w:t>
      </w:r>
      <w:proofErr w:type="spellStart"/>
      <w:r w:rsidRPr="0072283D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72283D">
        <w:rPr>
          <w:rFonts w:ascii="Times New Roman" w:hAnsi="Times New Roman" w:cs="Times New Roman"/>
          <w:sz w:val="24"/>
          <w:szCs w:val="24"/>
        </w:rPr>
        <w:t>» на 300 тысяч рублей. Новости Воронежа. 14 июня 2019. https://novostivoronezha.ru/2019/06/14/147076</w:t>
      </w:r>
    </w:p>
    <w:p w:rsidR="002C32E3" w:rsidRPr="0072283D" w:rsidRDefault="002C32E3" w:rsidP="002C32E3">
      <w:pPr>
        <w:pStyle w:val="ad"/>
        <w:numPr>
          <w:ilvl w:val="0"/>
          <w:numId w:val="12"/>
        </w:numPr>
        <w:spacing w:after="0" w:line="360" w:lineRule="auto"/>
        <w:ind w:left="1066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83D">
        <w:rPr>
          <w:rFonts w:ascii="Times New Roman" w:hAnsi="Times New Roman" w:cs="Times New Roman"/>
          <w:sz w:val="24"/>
          <w:szCs w:val="24"/>
        </w:rPr>
        <w:t>ФАС больше не винит ВМЗ в дороговизне колес. "Коммерсантъ" от 18.07.2019.</w:t>
      </w:r>
    </w:p>
    <w:p w:rsidR="002C32E3" w:rsidRPr="0072283D" w:rsidRDefault="002C32E3" w:rsidP="002C32E3">
      <w:pPr>
        <w:pStyle w:val="1"/>
        <w:spacing w:before="0" w:after="0" w:line="360" w:lineRule="auto"/>
        <w:ind w:left="1066" w:hanging="709"/>
        <w:jc w:val="both"/>
        <w:rPr>
          <w:sz w:val="24"/>
          <w:szCs w:val="24"/>
        </w:rPr>
        <w:sectPr w:rsidR="002C32E3" w:rsidRPr="00722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E3" w:rsidRPr="0036211A" w:rsidRDefault="002C32E3" w:rsidP="002C32E3">
      <w:pPr>
        <w:pStyle w:val="1"/>
        <w:jc w:val="center"/>
        <w:rPr>
          <w:sz w:val="28"/>
          <w:szCs w:val="28"/>
        </w:rPr>
      </w:pPr>
      <w:r w:rsidRPr="0036211A">
        <w:rPr>
          <w:sz w:val="28"/>
          <w:szCs w:val="28"/>
        </w:rPr>
        <w:lastRenderedPageBreak/>
        <w:t>Проектное задание № 15 по формированию аргументов оспаривания Решения ФАС России</w:t>
      </w:r>
    </w:p>
    <w:p w:rsidR="002C32E3" w:rsidRPr="004B6519" w:rsidRDefault="002C32E3" w:rsidP="002C32E3"/>
    <w:p w:rsidR="002C32E3" w:rsidRPr="0036211A" w:rsidRDefault="002C32E3" w:rsidP="002C32E3">
      <w:pPr>
        <w:pStyle w:val="1"/>
        <w:rPr>
          <w:rFonts w:ascii="Calibri" w:hAnsi="Calibri"/>
          <w:sz w:val="28"/>
          <w:szCs w:val="28"/>
        </w:rPr>
      </w:pPr>
      <w:r w:rsidRPr="0036211A">
        <w:rPr>
          <w:rFonts w:ascii="Calibri" w:hAnsi="Calibri"/>
          <w:sz w:val="28"/>
          <w:szCs w:val="28"/>
        </w:rPr>
        <w:t xml:space="preserve">Описание проблемы </w:t>
      </w:r>
    </w:p>
    <w:p w:rsidR="002C32E3" w:rsidRPr="00E51DE2" w:rsidRDefault="002C32E3" w:rsidP="002C32E3">
      <w:pPr>
        <w:pStyle w:val="af"/>
        <w:spacing w:before="0" w:beforeAutospacing="0" w:after="0" w:afterAutospacing="0" w:line="360" w:lineRule="auto"/>
        <w:ind w:firstLine="709"/>
        <w:jc w:val="both"/>
      </w:pPr>
      <w:r>
        <w:t>Участниками</w:t>
      </w:r>
      <w:r w:rsidRPr="00E51DE2">
        <w:t xml:space="preserve"> ситуации </w:t>
      </w:r>
      <w:r>
        <w:t>являются</w:t>
      </w:r>
      <w:r w:rsidRPr="00E51DE2">
        <w:t xml:space="preserve"> ОАО «РУСАЛ Ачинск» (АГК) и </w:t>
      </w:r>
      <w:r>
        <w:t>два</w:t>
      </w:r>
      <w:r w:rsidRPr="00E51DE2">
        <w:t xml:space="preserve"> железнодорожных оператора - ООО «</w:t>
      </w:r>
      <w:proofErr w:type="spellStart"/>
      <w:r w:rsidRPr="00E51DE2">
        <w:t>КрасОперГруз</w:t>
      </w:r>
      <w:proofErr w:type="spellEnd"/>
      <w:r w:rsidRPr="00E51DE2">
        <w:t>» и ОАО «Первая грузовая компания»  (подробности дела: С.В. Голованова «</w:t>
      </w:r>
      <w:r w:rsidRPr="00E51DE2">
        <w:rPr>
          <w:bCs/>
        </w:rPr>
        <w:t xml:space="preserve">Проблемы ограничения конкуренции на рынках, смежных с рынками ключевых </w:t>
      </w:r>
      <w:proofErr w:type="spellStart"/>
      <w:r w:rsidRPr="00E51DE2">
        <w:rPr>
          <w:bCs/>
        </w:rPr>
        <w:t>мощностеи</w:t>
      </w:r>
      <w:proofErr w:type="spellEnd"/>
      <w:r w:rsidRPr="00E51DE2">
        <w:rPr>
          <w:bCs/>
        </w:rPr>
        <w:t>̆»</w:t>
      </w:r>
      <w:r w:rsidRPr="00E51DE2">
        <w:t xml:space="preserve">, журнал НЭА, №4(20), 2013 </w:t>
      </w:r>
      <w:hyperlink r:id="rId47" w:history="1">
        <w:r w:rsidRPr="00E51DE2">
          <w:rPr>
            <w:rStyle w:val="a3"/>
          </w:rPr>
          <w:t>http://journal.econorus.org/pdf/NEA-20.pdf</w:t>
        </w:r>
      </w:hyperlink>
      <w:r w:rsidRPr="00E51DE2">
        <w:t xml:space="preserve">; Дело А40-118753/10-152-689 в системе арбитражных судов,   </w:t>
      </w:r>
      <w:hyperlink r:id="rId48" w:history="1">
        <w:r w:rsidRPr="00E51DE2">
          <w:rPr>
            <w:rStyle w:val="a3"/>
          </w:rPr>
          <w:t>http://kad.arbitr.ru</w:t>
        </w:r>
      </w:hyperlink>
      <w:r w:rsidRPr="00E51DE2">
        <w:t xml:space="preserve"> ).</w:t>
      </w:r>
    </w:p>
    <w:p w:rsidR="002C32E3" w:rsidRPr="00E51DE2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 xml:space="preserve">До марта 2009 г. доставка руды на 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линоземный комбинат осуществляла</w:t>
      </w:r>
      <w:r w:rsidRPr="00E51DE2">
        <w:rPr>
          <w:rFonts w:ascii="Times New Roman" w:hAnsi="Times New Roman" w:cs="Times New Roman"/>
          <w:sz w:val="24"/>
          <w:szCs w:val="24"/>
        </w:rPr>
        <w:t>сь компанией ООО «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КрасОперГруз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>» в рамках трехстороннего договора, который был заключен в</w:t>
      </w:r>
      <w:r>
        <w:rPr>
          <w:rFonts w:ascii="Times New Roman" w:hAnsi="Times New Roman" w:cs="Times New Roman"/>
          <w:sz w:val="24"/>
          <w:szCs w:val="24"/>
        </w:rPr>
        <w:t xml:space="preserve"> 2006 году</w:t>
      </w:r>
      <w:r w:rsidRPr="00E51DE2">
        <w:rPr>
          <w:rFonts w:ascii="Times New Roman" w:hAnsi="Times New Roman" w:cs="Times New Roman"/>
          <w:sz w:val="24"/>
          <w:szCs w:val="24"/>
        </w:rPr>
        <w:t xml:space="preserve"> между ОАО «РУСАЛ Ачинск», ОАО «Восток-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Сибпромтранс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>», в которое входит ООО «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КрасОперГруз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>», и Красноярской железной дорогой.</w:t>
      </w:r>
    </w:p>
    <w:p w:rsidR="002C32E3" w:rsidRPr="00E51DE2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 xml:space="preserve"> В марте 2009 года ОАО «РУСАЛ Ачинск» заявило об одностороннем расторжении договора, так как ОАО «ПГК» (дочерняя компания ОА</w:t>
      </w:r>
      <w:r>
        <w:rPr>
          <w:rFonts w:ascii="Times New Roman" w:hAnsi="Times New Roman" w:cs="Times New Roman"/>
          <w:sz w:val="24"/>
          <w:szCs w:val="24"/>
        </w:rPr>
        <w:t>О «РЖД») предложило</w:t>
      </w:r>
      <w:r w:rsidRPr="00E51DE2">
        <w:rPr>
          <w:rFonts w:ascii="Times New Roman" w:hAnsi="Times New Roman" w:cs="Times New Roman"/>
          <w:sz w:val="24"/>
          <w:szCs w:val="24"/>
        </w:rPr>
        <w:t xml:space="preserve"> более низкие тарифы на транспортировку руды. </w:t>
      </w:r>
    </w:p>
    <w:p w:rsidR="002C32E3" w:rsidRPr="00E51DE2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КрасОперГруз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>» обратилось в УФАС по Красноярскому краю с заявлением о том, что ОАО «РЖД» ограничивает конкуренцию путем предоставления монопольно низкой цены при перевозке нефелиновой руды для определенного круга лиц (для ОАО «Первая грузовая компания»). В апреле того же года ООО «</w:t>
      </w:r>
      <w:proofErr w:type="spellStart"/>
      <w:r w:rsidRPr="00E51DE2">
        <w:rPr>
          <w:rFonts w:ascii="Times New Roman" w:hAnsi="Times New Roman" w:cs="Times New Roman"/>
          <w:sz w:val="24"/>
          <w:szCs w:val="24"/>
        </w:rPr>
        <w:t>КрасОперГруз</w:t>
      </w:r>
      <w:proofErr w:type="spellEnd"/>
      <w:r w:rsidRPr="00E51DE2">
        <w:rPr>
          <w:rFonts w:ascii="Times New Roman" w:hAnsi="Times New Roman" w:cs="Times New Roman"/>
          <w:sz w:val="24"/>
          <w:szCs w:val="24"/>
        </w:rPr>
        <w:t xml:space="preserve">» обратилось в УФАС с заявлением о нарушении антимонопольного законодательства. </w:t>
      </w:r>
    </w:p>
    <w:p w:rsidR="002C32E3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>Конфликт между хозяйствующими субъектами продолжился в форме серии судебных разбирательств, имело место обращ</w:t>
      </w:r>
      <w:r>
        <w:rPr>
          <w:rFonts w:ascii="Times New Roman" w:hAnsi="Times New Roman" w:cs="Times New Roman"/>
          <w:sz w:val="24"/>
          <w:szCs w:val="24"/>
        </w:rPr>
        <w:t>ение обеих сторон в ФАС России.</w:t>
      </w:r>
    </w:p>
    <w:p w:rsidR="002C32E3" w:rsidRPr="0036211A" w:rsidRDefault="002C32E3" w:rsidP="002C3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E3" w:rsidRPr="0036211A" w:rsidRDefault="002C32E3" w:rsidP="002C3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задания</w:t>
      </w:r>
    </w:p>
    <w:p w:rsidR="002C32E3" w:rsidRPr="00E51DE2" w:rsidRDefault="002C32E3" w:rsidP="002C3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1). </w:t>
      </w:r>
      <w:r w:rsidRPr="00E51DE2">
        <w:rPr>
          <w:rFonts w:ascii="Times New Roman" w:hAnsi="Times New Roman" w:cs="Times New Roman"/>
          <w:sz w:val="24"/>
          <w:szCs w:val="24"/>
        </w:rPr>
        <w:t>Опираясь на содержание Федерального закона «О защите конкуренции», на содержание Порядка 220 ФАС России,  сформулируйте аргументы, которые могли быть использованы ОАО «РУСАЛ Ачинск» при оспаривании Решения первой инстанции (</w:t>
      </w:r>
      <w:hyperlink r:id="rId49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http://kad.arbitr.ru</w:t>
        </w:r>
      </w:hyperlink>
      <w:r w:rsidRPr="00E51DE2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2C32E3" w:rsidRPr="00E51DE2" w:rsidRDefault="002C32E3" w:rsidP="002C3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lastRenderedPageBreak/>
        <w:t>2) Предложите аргументацию возможности использования данных, например, Федеральной службы государственной статистики (</w:t>
      </w:r>
      <w:hyperlink r:id="rId50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https://www.gks.ru</w:t>
        </w:r>
      </w:hyperlink>
      <w:r w:rsidRPr="00E51DE2">
        <w:rPr>
          <w:rFonts w:ascii="Times New Roman" w:hAnsi="Times New Roman" w:cs="Times New Roman"/>
          <w:sz w:val="24"/>
          <w:szCs w:val="24"/>
        </w:rPr>
        <w:t>) для подтверждения сформулированных аргументов в пункте 1 задания.</w:t>
      </w:r>
    </w:p>
    <w:p w:rsidR="002C32E3" w:rsidRPr="0036211A" w:rsidRDefault="002C32E3" w:rsidP="002C32E3">
      <w:pPr>
        <w:spacing w:line="360" w:lineRule="auto"/>
        <w:jc w:val="both"/>
        <w:rPr>
          <w:b/>
          <w:sz w:val="28"/>
          <w:szCs w:val="28"/>
        </w:rPr>
      </w:pPr>
      <w:r w:rsidRPr="0036211A">
        <w:rPr>
          <w:b/>
          <w:sz w:val="28"/>
          <w:szCs w:val="28"/>
        </w:rPr>
        <w:t>Рекомендуема</w:t>
      </w:r>
      <w:r>
        <w:rPr>
          <w:b/>
          <w:sz w:val="28"/>
          <w:szCs w:val="28"/>
        </w:rPr>
        <w:t>я литература и источники данных</w:t>
      </w:r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>С.В. Голованова «</w:t>
      </w:r>
      <w:r w:rsidRPr="00E51DE2">
        <w:rPr>
          <w:rFonts w:ascii="Times New Roman" w:hAnsi="Times New Roman" w:cs="Times New Roman"/>
          <w:bCs/>
          <w:sz w:val="24"/>
          <w:szCs w:val="24"/>
        </w:rPr>
        <w:t xml:space="preserve">Проблемы ограничения конкуренции на рынках, смежных с рынками ключевых </w:t>
      </w:r>
      <w:proofErr w:type="spellStart"/>
      <w:r w:rsidRPr="00E51DE2">
        <w:rPr>
          <w:rFonts w:ascii="Times New Roman" w:hAnsi="Times New Roman" w:cs="Times New Roman"/>
          <w:bCs/>
          <w:sz w:val="24"/>
          <w:szCs w:val="24"/>
        </w:rPr>
        <w:t>мощностеи</w:t>
      </w:r>
      <w:proofErr w:type="spellEnd"/>
      <w:r w:rsidRPr="00E51DE2">
        <w:rPr>
          <w:rFonts w:ascii="Times New Roman" w:hAnsi="Times New Roman" w:cs="Times New Roman"/>
          <w:bCs/>
          <w:sz w:val="24"/>
          <w:szCs w:val="24"/>
        </w:rPr>
        <w:t>̆»</w:t>
      </w:r>
      <w:r w:rsidRPr="00E51DE2">
        <w:rPr>
          <w:rFonts w:ascii="Times New Roman" w:hAnsi="Times New Roman" w:cs="Times New Roman"/>
          <w:sz w:val="24"/>
          <w:szCs w:val="24"/>
        </w:rPr>
        <w:t xml:space="preserve">, журнал НЭА, №4(20), 2013 </w:t>
      </w:r>
      <w:hyperlink r:id="rId51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http://journal.econorus.org/pdf/NEA-20.pdf</w:t>
        </w:r>
      </w:hyperlink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 xml:space="preserve">Дело А40-118753/10-152-689 в системе арбитражных </w:t>
      </w:r>
      <w:proofErr w:type="gramStart"/>
      <w:r w:rsidRPr="00E51DE2">
        <w:rPr>
          <w:rFonts w:ascii="Times New Roman" w:hAnsi="Times New Roman" w:cs="Times New Roman"/>
          <w:sz w:val="24"/>
          <w:szCs w:val="24"/>
        </w:rPr>
        <w:t xml:space="preserve">судов,   </w:t>
      </w:r>
      <w:proofErr w:type="gramEnd"/>
      <w:hyperlink r:id="rId52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http://kad.arbitr.ru</w:t>
        </w:r>
      </w:hyperlink>
    </w:p>
    <w:p w:rsidR="002C32E3" w:rsidRPr="00E51DE2" w:rsidRDefault="00347935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2C32E3" w:rsidRPr="00E51DE2">
          <w:rPr>
            <w:rStyle w:val="a3"/>
            <w:rFonts w:ascii="Times New Roman" w:hAnsi="Times New Roman" w:cs="Times New Roman"/>
            <w:sz w:val="24"/>
            <w:szCs w:val="24"/>
          </w:rPr>
          <w:t>https://www.gks.ru</w:t>
        </w:r>
      </w:hyperlink>
      <w:r w:rsidR="002C32E3" w:rsidRPr="00E51D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 xml:space="preserve">«Порядок проведения анализа состояния конкуренции на товарном рынке" (утвержден Приказом ФАС России от 28.04.2010 N 220,  ред. от 20.07.2016) </w:t>
      </w:r>
      <w:hyperlink r:id="rId54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http://www.consultant.ru/document/cons_doc_LAW_103446/</w:t>
        </w:r>
      </w:hyperlink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bCs/>
          <w:color w:val="262626"/>
          <w:sz w:val="24"/>
          <w:szCs w:val="24"/>
        </w:rPr>
        <w:t>Федеральный закон "О защите конкуренции" от 26.07.2006 N 135-ФЗ (последняя редакция)</w:t>
      </w:r>
      <w:r w:rsidRPr="00E51DE2">
        <w:rPr>
          <w:rFonts w:ascii="Times New Roman" w:hAnsi="Times New Roman" w:cs="Times New Roman"/>
          <w:sz w:val="24"/>
          <w:szCs w:val="24"/>
        </w:rPr>
        <w:t xml:space="preserve">,  </w:t>
      </w:r>
      <w:hyperlink r:id="rId55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http://www.consultant.ru/document/cons_doc_LAW_61763/</w:t>
        </w:r>
      </w:hyperlink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Church, Jeffrey R., and Roger Ware. Industrial Organization: A Strategic Approach. </w:t>
      </w:r>
      <w:r w:rsidRPr="00E51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(2000). Электронная версия доступна с разрешения авторов.</w:t>
      </w:r>
      <w:r w:rsidRPr="00E51DE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-  </w:t>
      </w:r>
      <w:r w:rsidRPr="00E51DE2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E51DE2">
        <w:rPr>
          <w:rFonts w:ascii="Times New Roman" w:hAnsi="Times New Roman" w:cs="Times New Roman"/>
          <w:i/>
          <w:sz w:val="24"/>
          <w:szCs w:val="24"/>
        </w:rPr>
        <w:t>:</w:t>
      </w:r>
      <w:r w:rsidRPr="00E51D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6" w:history="1"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https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://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works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bepress</w:t>
        </w:r>
        <w:proofErr w:type="spellEnd"/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com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/</w:t>
        </w:r>
        <w:proofErr w:type="spellStart"/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jeffrey</w:t>
        </w:r>
        <w:proofErr w:type="spellEnd"/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_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church</w:t>
        </w:r>
        <w:r w:rsidRPr="00E51DE2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/23/</w:t>
        </w:r>
      </w:hyperlink>
    </w:p>
    <w:p w:rsidR="002C32E3" w:rsidRPr="00E51DE2" w:rsidRDefault="00347935" w:rsidP="002C32E3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edisciplinas</w:t>
        </w:r>
        <w:proofErr w:type="spellEnd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usp</w:t>
        </w:r>
        <w:proofErr w:type="spellEnd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br</w:t>
        </w:r>
        <w:proofErr w:type="spellEnd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proofErr w:type="spellStart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pluginfile</w:t>
        </w:r>
        <w:proofErr w:type="spellEnd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php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/544042/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mod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_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resource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content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/1/</w:t>
        </w:r>
        <w:proofErr w:type="spellStart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ChurchWare</w:t>
        </w:r>
        <w:proofErr w:type="spellEnd"/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2C32E3" w:rsidRPr="00E51DE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pdf</w:t>
        </w:r>
      </w:hyperlink>
    </w:p>
    <w:p w:rsidR="002C32E3" w:rsidRPr="00E51DE2" w:rsidRDefault="002C32E3" w:rsidP="002C32E3">
      <w:pPr>
        <w:pStyle w:val="ad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DE2">
        <w:rPr>
          <w:rFonts w:ascii="Times New Roman" w:hAnsi="Times New Roman" w:cs="Times New Roman"/>
          <w:sz w:val="24"/>
          <w:szCs w:val="24"/>
          <w:lang w:val="en-US"/>
        </w:rPr>
        <w:t xml:space="preserve">Bergh, Roger Van den. </w:t>
      </w:r>
      <w:r w:rsidRPr="00E51D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Comparative Competition Law and Economics, </w:t>
      </w:r>
      <w:r w:rsidRPr="00E51DE2">
        <w:rPr>
          <w:rFonts w:ascii="Times New Roman" w:hAnsi="Times New Roman" w:cs="Times New Roman"/>
          <w:sz w:val="24"/>
          <w:szCs w:val="24"/>
          <w:lang w:val="en-US"/>
        </w:rPr>
        <w:t>Edward Elgar Publishing, Incorporated, 2017</w:t>
      </w:r>
      <w:r w:rsidRPr="00E51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51DE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- </w:t>
      </w:r>
      <w:r w:rsidRPr="00E51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URL: </w:t>
      </w:r>
      <w:hyperlink r:id="rId58" w:history="1">
        <w:r w:rsidRPr="00E51DE2">
          <w:rPr>
            <w:rFonts w:ascii="Times New Roman" w:hAnsi="Times New Roman" w:cs="Times New Roman"/>
            <w:i/>
            <w:color w:val="420178"/>
            <w:sz w:val="24"/>
            <w:szCs w:val="24"/>
            <w:u w:val="single" w:color="420178"/>
            <w:lang w:val="en-US"/>
          </w:rPr>
          <w:t>http://proxylibrary.hse.ru:2048/login?url=https://ebookcentral.proquest.com/lib/hselibrary-ebooks/detail.action?docID=5449559</w:t>
        </w:r>
      </w:hyperlink>
      <w:r w:rsidRPr="00E51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C32E3" w:rsidRPr="00E51DE2" w:rsidRDefault="00347935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9" w:history="1">
        <w:r w:rsidR="002C32E3" w:rsidRPr="00E51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http://www.mineral.ru/Analytics/worldtrend/129/270/index.html</w:t>
        </w:r>
      </w:hyperlink>
    </w:p>
    <w:p w:rsidR="002C32E3" w:rsidRPr="00E51DE2" w:rsidRDefault="002C32E3" w:rsidP="002C32E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 xml:space="preserve">Крупнейшие грузоперевозчики. Деловой квартал – Красноярск, № 21 (169), 26 октября 2009 г. Интернет-адрес: </w:t>
      </w:r>
      <w:hyperlink r:id="rId60" w:history="1">
        <w:r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http://dkvartal.ru/krsk/magazines/dk-krsk/2009/n21/krupnejjshie_gruzoperevozchiki</w:t>
        </w:r>
      </w:hyperlink>
      <w:r w:rsidRPr="00E51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E3" w:rsidRPr="00E51DE2" w:rsidRDefault="002C32E3" w:rsidP="002C32E3">
      <w:pPr>
        <w:pStyle w:val="ad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DE2">
        <w:rPr>
          <w:rFonts w:ascii="Times New Roman" w:hAnsi="Times New Roman" w:cs="Times New Roman"/>
          <w:sz w:val="24"/>
          <w:szCs w:val="24"/>
        </w:rPr>
        <w:t>Транспортная стратегия Российской Федерации</w:t>
      </w:r>
    </w:p>
    <w:p w:rsidR="002C32E3" w:rsidRPr="00E51DE2" w:rsidRDefault="00347935" w:rsidP="002C32E3">
      <w:pPr>
        <w:pStyle w:val="aa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C32E3" w:rsidRPr="00E51DE2">
          <w:rPr>
            <w:rStyle w:val="a3"/>
            <w:rFonts w:ascii="Times New Roman" w:hAnsi="Times New Roman" w:cs="Times New Roman"/>
            <w:sz w:val="24"/>
            <w:szCs w:val="24"/>
          </w:rPr>
          <w:t>http://www.mintrans.ru/pressa/TransStrat_Trans_Econom_Balance_2_1.htm</w:t>
        </w:r>
      </w:hyperlink>
      <w:r w:rsidR="002C32E3" w:rsidRPr="00E51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E3" w:rsidRPr="00E51DE2" w:rsidRDefault="00347935" w:rsidP="002C32E3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2C32E3" w:rsidRPr="00E51DE2">
          <w:rPr>
            <w:rStyle w:val="a3"/>
            <w:rFonts w:ascii="Times New Roman" w:hAnsi="Times New Roman" w:cs="Times New Roman"/>
            <w:sz w:val="24"/>
            <w:szCs w:val="24"/>
          </w:rPr>
          <w:t>https://www.mintrans.ru/ministry/results/180/documents</w:t>
        </w:r>
      </w:hyperlink>
    </w:p>
    <w:p w:rsidR="00A36240" w:rsidRDefault="00A36240" w:rsidP="002176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362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F9E" w:rsidRPr="007C1A82" w:rsidRDefault="00D53F9E" w:rsidP="008B1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3F9E" w:rsidRPr="007C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35" w:rsidRDefault="00347935" w:rsidP="00354372">
      <w:pPr>
        <w:spacing w:after="0" w:line="240" w:lineRule="auto"/>
      </w:pPr>
      <w:r>
        <w:separator/>
      </w:r>
    </w:p>
  </w:endnote>
  <w:endnote w:type="continuationSeparator" w:id="0">
    <w:p w:rsidR="00347935" w:rsidRDefault="00347935" w:rsidP="0035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29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9F2" w:rsidRPr="00354372" w:rsidRDefault="008F39F2" w:rsidP="00354372">
        <w:pPr>
          <w:pStyle w:val="a8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54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3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B31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543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35" w:rsidRDefault="00347935" w:rsidP="00354372">
      <w:pPr>
        <w:spacing w:after="0" w:line="240" w:lineRule="auto"/>
      </w:pPr>
      <w:r>
        <w:separator/>
      </w:r>
    </w:p>
  </w:footnote>
  <w:footnote w:type="continuationSeparator" w:id="0">
    <w:p w:rsidR="00347935" w:rsidRDefault="00347935" w:rsidP="00354372">
      <w:pPr>
        <w:spacing w:after="0" w:line="240" w:lineRule="auto"/>
      </w:pPr>
      <w:r>
        <w:continuationSeparator/>
      </w:r>
    </w:p>
  </w:footnote>
  <w:footnote w:id="1">
    <w:p w:rsidR="008F39F2" w:rsidRDefault="008F39F2" w:rsidP="008F39F2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220,  ред. от 20.07.2016) </w:t>
      </w:r>
    </w:p>
    <w:p w:rsidR="008F39F2" w:rsidRDefault="00347935" w:rsidP="008F39F2">
      <w:pPr>
        <w:pStyle w:val="aa"/>
      </w:pPr>
      <w:hyperlink r:id="rId1" w:history="1">
        <w:r w:rsidR="008F39F2" w:rsidRPr="00321818">
          <w:rPr>
            <w:rStyle w:val="a3"/>
          </w:rPr>
          <w:t>http://www.consultant.ru/document/cons_doc_LAW_103446/</w:t>
        </w:r>
      </w:hyperlink>
      <w:r w:rsidR="008F39F2">
        <w:t xml:space="preserve"> </w:t>
      </w:r>
    </w:p>
  </w:footnote>
  <w:footnote w:id="2">
    <w:p w:rsidR="008F39F2" w:rsidRDefault="008F39F2" w:rsidP="008F39F2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DE0A49">
        <w:t xml:space="preserve">220,  ред. от 20.07.2016) </w:t>
      </w:r>
    </w:p>
    <w:p w:rsidR="008F39F2" w:rsidRDefault="00347935" w:rsidP="008F39F2">
      <w:pPr>
        <w:pStyle w:val="aa"/>
      </w:pPr>
      <w:hyperlink r:id="rId2" w:history="1">
        <w:r w:rsidR="008F39F2" w:rsidRPr="00321818">
          <w:rPr>
            <w:rStyle w:val="a3"/>
          </w:rPr>
          <w:t>http://www.consultant.ru/document/cons_doc_LAW_103446/</w:t>
        </w:r>
      </w:hyperlink>
      <w:r w:rsidR="008F39F2">
        <w:t xml:space="preserve"> </w:t>
      </w:r>
    </w:p>
  </w:footnote>
  <w:footnote w:id="3">
    <w:p w:rsidR="008F39F2" w:rsidRDefault="008F39F2" w:rsidP="008F39F2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DE0A49">
        <w:t xml:space="preserve">220,  ред. от 20.07.2016) </w:t>
      </w:r>
    </w:p>
    <w:p w:rsidR="008F39F2" w:rsidRDefault="00347935" w:rsidP="008F39F2">
      <w:pPr>
        <w:pStyle w:val="aa"/>
      </w:pPr>
      <w:hyperlink r:id="rId3" w:history="1">
        <w:r w:rsidR="008F39F2" w:rsidRPr="00321818">
          <w:rPr>
            <w:rStyle w:val="a3"/>
          </w:rPr>
          <w:t>http://www.consultant.ru/document/cons_doc_LAW_103446/</w:t>
        </w:r>
      </w:hyperlink>
      <w:r w:rsidR="008F39F2">
        <w:t xml:space="preserve"> </w:t>
      </w:r>
    </w:p>
  </w:footnote>
  <w:footnote w:id="4">
    <w:p w:rsidR="008F39F2" w:rsidRDefault="008F39F2" w:rsidP="008F39F2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DE0A49">
        <w:t xml:space="preserve">220,  ред. от 20.07.2016) </w:t>
      </w:r>
    </w:p>
    <w:p w:rsidR="008F39F2" w:rsidRDefault="00347935" w:rsidP="008F39F2">
      <w:pPr>
        <w:pStyle w:val="aa"/>
      </w:pPr>
      <w:hyperlink r:id="rId4" w:history="1">
        <w:r w:rsidR="008F39F2" w:rsidRPr="00321818">
          <w:rPr>
            <w:rStyle w:val="a3"/>
          </w:rPr>
          <w:t>http://www.consultant.ru/document/cons_doc_LAW_103446/</w:t>
        </w:r>
      </w:hyperlink>
      <w:r w:rsidR="008F39F2">
        <w:t xml:space="preserve"> </w:t>
      </w:r>
    </w:p>
  </w:footnote>
  <w:footnote w:id="5">
    <w:p w:rsidR="002C32E3" w:rsidRDefault="002C32E3" w:rsidP="002C32E3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DE0A49">
        <w:t xml:space="preserve">220,  ред. от 20.07.2016) </w:t>
      </w:r>
    </w:p>
    <w:p w:rsidR="002C32E3" w:rsidRDefault="00347935" w:rsidP="002C32E3">
      <w:pPr>
        <w:pStyle w:val="aa"/>
      </w:pPr>
      <w:hyperlink r:id="rId5" w:history="1">
        <w:r w:rsidR="002C32E3" w:rsidRPr="00321818">
          <w:rPr>
            <w:rStyle w:val="a3"/>
          </w:rPr>
          <w:t>http://www.consultant.ru/document/cons_doc_LAW_103446/</w:t>
        </w:r>
      </w:hyperlink>
      <w:r w:rsidR="002C32E3">
        <w:t xml:space="preserve"> </w:t>
      </w:r>
    </w:p>
  </w:footnote>
  <w:footnote w:id="6">
    <w:p w:rsidR="002C32E3" w:rsidRPr="00A76E77" w:rsidRDefault="002C32E3" w:rsidP="002C32E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6E77">
        <w:rPr>
          <w:rFonts w:ascii="Times New Roman" w:hAnsi="Times New Roman" w:cs="Times New Roman"/>
          <w:sz w:val="24"/>
          <w:szCs w:val="24"/>
        </w:rPr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A76E77">
        <w:rPr>
          <w:rFonts w:ascii="Times New Roman" w:hAnsi="Times New Roman" w:cs="Times New Roman"/>
          <w:sz w:val="24"/>
          <w:szCs w:val="24"/>
        </w:rPr>
        <w:t xml:space="preserve">220,  ред. от 20.07.2016) </w:t>
      </w:r>
    </w:p>
    <w:p w:rsidR="002C32E3" w:rsidRPr="00A76E77" w:rsidRDefault="00347935" w:rsidP="002C32E3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32E3" w:rsidRPr="00A76E77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http://www.consultant.ru/document/cons_doc_LAW_103446/</w:t>
        </w:r>
      </w:hyperlink>
      <w:r w:rsidR="002C32E3" w:rsidRPr="00A76E7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">
    <w:p w:rsidR="002C32E3" w:rsidRPr="00491215" w:rsidRDefault="002C32E3" w:rsidP="002C32E3">
      <w:pPr>
        <w:pStyle w:val="aa"/>
        <w:rPr>
          <w:lang w:val="en-US"/>
        </w:rPr>
      </w:pPr>
      <w:r>
        <w:rPr>
          <w:rStyle w:val="ac"/>
        </w:rPr>
        <w:footnoteRef/>
      </w:r>
      <w:r w:rsidRPr="00812112">
        <w:rPr>
          <w:lang w:val="en-US"/>
        </w:rPr>
        <w:t xml:space="preserve"> Strategic Policy Forum on Digital Entrepreneurship.  </w:t>
      </w:r>
      <w:hyperlink r:id="rId7" w:history="1">
        <w:r w:rsidRPr="00D1399D">
          <w:rPr>
            <w:rStyle w:val="a3"/>
            <w:lang w:val="en-US"/>
          </w:rPr>
          <w:t>https</w:t>
        </w:r>
        <w:r w:rsidRPr="00491215">
          <w:rPr>
            <w:rStyle w:val="a3"/>
            <w:lang w:val="en-US"/>
          </w:rPr>
          <w:t>://</w:t>
        </w:r>
        <w:r w:rsidRPr="00D1399D">
          <w:rPr>
            <w:rStyle w:val="a3"/>
            <w:lang w:val="en-US"/>
          </w:rPr>
          <w:t>ec</w:t>
        </w:r>
        <w:r w:rsidRPr="00491215">
          <w:rPr>
            <w:rStyle w:val="a3"/>
            <w:lang w:val="en-US"/>
          </w:rPr>
          <w:t>.</w:t>
        </w:r>
        <w:r w:rsidRPr="00D1399D">
          <w:rPr>
            <w:rStyle w:val="a3"/>
            <w:lang w:val="en-US"/>
          </w:rPr>
          <w:t>europa</w:t>
        </w:r>
        <w:r w:rsidRPr="00491215">
          <w:rPr>
            <w:rStyle w:val="a3"/>
            <w:lang w:val="en-US"/>
          </w:rPr>
          <w:t>.</w:t>
        </w:r>
        <w:r w:rsidRPr="00D1399D">
          <w:rPr>
            <w:rStyle w:val="a3"/>
            <w:lang w:val="en-US"/>
          </w:rPr>
          <w:t>eu</w:t>
        </w:r>
        <w:r w:rsidRPr="00491215">
          <w:rPr>
            <w:rStyle w:val="a3"/>
            <w:lang w:val="en-US"/>
          </w:rPr>
          <w:t>/</w:t>
        </w:r>
        <w:r w:rsidRPr="00D1399D">
          <w:rPr>
            <w:rStyle w:val="a3"/>
            <w:lang w:val="en-US"/>
          </w:rPr>
          <w:t>growth</w:t>
        </w:r>
        <w:r w:rsidRPr="00491215">
          <w:rPr>
            <w:rStyle w:val="a3"/>
            <w:lang w:val="en-US"/>
          </w:rPr>
          <w:t>/</w:t>
        </w:r>
        <w:r w:rsidRPr="00D1399D">
          <w:rPr>
            <w:rStyle w:val="a3"/>
            <w:lang w:val="en-US"/>
          </w:rPr>
          <w:t>industry</w:t>
        </w:r>
        <w:r w:rsidRPr="00491215">
          <w:rPr>
            <w:rStyle w:val="a3"/>
            <w:lang w:val="en-US"/>
          </w:rPr>
          <w:t>/</w:t>
        </w:r>
        <w:r w:rsidRPr="00D1399D">
          <w:rPr>
            <w:rStyle w:val="a3"/>
            <w:lang w:val="en-US"/>
          </w:rPr>
          <w:t>policy</w:t>
        </w:r>
        <w:r w:rsidRPr="00491215">
          <w:rPr>
            <w:rStyle w:val="a3"/>
            <w:lang w:val="en-US"/>
          </w:rPr>
          <w:t>/</w:t>
        </w:r>
        <w:r w:rsidRPr="00D1399D">
          <w:rPr>
            <w:rStyle w:val="a3"/>
            <w:lang w:val="en-US"/>
          </w:rPr>
          <w:t>digital</w:t>
        </w:r>
        <w:r w:rsidRPr="00491215">
          <w:rPr>
            <w:rStyle w:val="a3"/>
            <w:lang w:val="en-US"/>
          </w:rPr>
          <w:t>-</w:t>
        </w:r>
        <w:r w:rsidRPr="00D1399D">
          <w:rPr>
            <w:rStyle w:val="a3"/>
            <w:lang w:val="en-US"/>
          </w:rPr>
          <w:t>transformation</w:t>
        </w:r>
        <w:r w:rsidRPr="00491215">
          <w:rPr>
            <w:rStyle w:val="a3"/>
            <w:lang w:val="en-US"/>
          </w:rPr>
          <w:t>/</w:t>
        </w:r>
        <w:r w:rsidRPr="00D1399D">
          <w:rPr>
            <w:rStyle w:val="a3"/>
            <w:lang w:val="en-US"/>
          </w:rPr>
          <w:t>big</w:t>
        </w:r>
        <w:r w:rsidRPr="00491215">
          <w:rPr>
            <w:rStyle w:val="a3"/>
            <w:lang w:val="en-US"/>
          </w:rPr>
          <w:t>-</w:t>
        </w:r>
        <w:r w:rsidRPr="00D1399D">
          <w:rPr>
            <w:rStyle w:val="a3"/>
            <w:lang w:val="en-US"/>
          </w:rPr>
          <w:t>data</w:t>
        </w:r>
        <w:r w:rsidRPr="00491215">
          <w:rPr>
            <w:rStyle w:val="a3"/>
            <w:lang w:val="en-US"/>
          </w:rPr>
          <w:t>-</w:t>
        </w:r>
        <w:r w:rsidRPr="00D1399D">
          <w:rPr>
            <w:rStyle w:val="a3"/>
            <w:lang w:val="en-US"/>
          </w:rPr>
          <w:t>digital</w:t>
        </w:r>
        <w:r w:rsidRPr="00491215">
          <w:rPr>
            <w:rStyle w:val="a3"/>
            <w:lang w:val="en-US"/>
          </w:rPr>
          <w:t>-</w:t>
        </w:r>
        <w:r w:rsidRPr="00D1399D">
          <w:rPr>
            <w:rStyle w:val="a3"/>
            <w:lang w:val="en-US"/>
          </w:rPr>
          <w:t>platforms</w:t>
        </w:r>
        <w:r w:rsidRPr="00491215">
          <w:rPr>
            <w:rStyle w:val="a3"/>
            <w:lang w:val="en-US"/>
          </w:rPr>
          <w:t>_</w:t>
        </w:r>
        <w:r w:rsidRPr="00D1399D">
          <w:rPr>
            <w:rStyle w:val="a3"/>
            <w:lang w:val="en-US"/>
          </w:rPr>
          <w:t>da</w:t>
        </w:r>
      </w:hyperlink>
      <w:r w:rsidRPr="00491215">
        <w:rPr>
          <w:lang w:val="en-US"/>
        </w:rPr>
        <w:t xml:space="preserve"> </w:t>
      </w:r>
    </w:p>
  </w:footnote>
  <w:footnote w:id="8">
    <w:p w:rsidR="002C32E3" w:rsidRPr="00FE19AA" w:rsidRDefault="002C32E3" w:rsidP="002C32E3">
      <w:pPr>
        <w:pStyle w:val="aa"/>
        <w:rPr>
          <w:lang w:val="en-US"/>
        </w:rPr>
      </w:pPr>
      <w:r>
        <w:rPr>
          <w:rStyle w:val="ac"/>
        </w:rPr>
        <w:footnoteRef/>
      </w:r>
      <w:r w:rsidRPr="00FE19AA">
        <w:rPr>
          <w:lang w:val="en-US"/>
        </w:rPr>
        <w:t xml:space="preserve"> </w:t>
      </w:r>
      <w:r w:rsidRPr="00FE19AA">
        <w:rPr>
          <w:lang w:val="en-US"/>
        </w:rPr>
        <w:t xml:space="preserve">Walles Ch. The rise of platform business – How digital networks are changing competition. 2018. </w:t>
      </w:r>
      <w:hyperlink r:id="rId8" w:history="1">
        <w:r w:rsidRPr="00D1399D">
          <w:rPr>
            <w:rStyle w:val="a3"/>
            <w:lang w:val="en-US"/>
          </w:rPr>
          <w:t>http://www.apriso.com/blog/2018/08/the-rise-of-platform-business-how-digital-networks-are-changing-competition/</w:t>
        </w:r>
      </w:hyperlink>
      <w:r w:rsidRPr="00FE19AA">
        <w:rPr>
          <w:lang w:val="en-US"/>
        </w:rPr>
        <w:t xml:space="preserve"> </w:t>
      </w:r>
    </w:p>
  </w:footnote>
  <w:footnote w:id="9">
    <w:p w:rsidR="002C32E3" w:rsidRDefault="002C32E3" w:rsidP="002C32E3">
      <w:pPr>
        <w:pStyle w:val="aa"/>
      </w:pPr>
      <w:r>
        <w:rPr>
          <w:rStyle w:val="ac"/>
        </w:rPr>
        <w:footnoteRef/>
      </w:r>
      <w:r>
        <w:t xml:space="preserve"> </w:t>
      </w:r>
      <w:r w:rsidRPr="00326608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326608">
        <w:t xml:space="preserve">220,  ред. от 20.07.2016) </w:t>
      </w:r>
    </w:p>
    <w:p w:rsidR="002C32E3" w:rsidRDefault="00347935" w:rsidP="002C32E3">
      <w:pPr>
        <w:pStyle w:val="aa"/>
      </w:pPr>
      <w:hyperlink r:id="rId9" w:history="1">
        <w:r w:rsidR="002C32E3" w:rsidRPr="00D1399D">
          <w:rPr>
            <w:rStyle w:val="a3"/>
          </w:rPr>
          <w:t>http://www.consultant.ru/document/cons_doc_LAW_103446/</w:t>
        </w:r>
      </w:hyperlink>
      <w:r w:rsidR="002C32E3">
        <w:t xml:space="preserve"> </w:t>
      </w:r>
    </w:p>
  </w:footnote>
  <w:footnote w:id="10">
    <w:p w:rsidR="002C32E3" w:rsidRPr="00A76E77" w:rsidRDefault="002C32E3" w:rsidP="002C32E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6E77">
        <w:rPr>
          <w:rFonts w:ascii="Times New Roman" w:hAnsi="Times New Roman" w:cs="Times New Roman"/>
          <w:sz w:val="24"/>
          <w:szCs w:val="24"/>
        </w:rPr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A76E77">
        <w:rPr>
          <w:rFonts w:ascii="Times New Roman" w:hAnsi="Times New Roman" w:cs="Times New Roman"/>
          <w:sz w:val="24"/>
          <w:szCs w:val="24"/>
        </w:rPr>
        <w:t xml:space="preserve">220,  ред. от 20.07.2016) </w:t>
      </w:r>
    </w:p>
    <w:p w:rsidR="002C32E3" w:rsidRPr="00A76E77" w:rsidRDefault="00347935" w:rsidP="002C32E3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32E3" w:rsidRPr="00A76E77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http://www.consultant.ru/document/cons_doc_LAW_103446/</w:t>
        </w:r>
      </w:hyperlink>
      <w:r w:rsidR="002C32E3" w:rsidRPr="00A76E77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1">
    <w:p w:rsidR="002C32E3" w:rsidRDefault="002C32E3" w:rsidP="002C32E3">
      <w:pPr>
        <w:pStyle w:val="aa"/>
      </w:pPr>
      <w:r>
        <w:rPr>
          <w:rStyle w:val="ac"/>
        </w:rPr>
        <w:footnoteRef/>
      </w:r>
      <w:r>
        <w:t xml:space="preserve"> </w:t>
      </w:r>
      <w:r w:rsidRPr="00DE0A49">
        <w:t xml:space="preserve">«Порядок проведения анализа состояния конкуренции на товарном рынке" (утвержден Приказом ФАС России от 28.04.2010 N </w:t>
      </w:r>
      <w:r w:rsidRPr="00DE0A49">
        <w:t xml:space="preserve">220,  ред. от 20.07.2016) </w:t>
      </w:r>
    </w:p>
    <w:p w:rsidR="002C32E3" w:rsidRDefault="00347935" w:rsidP="002C32E3">
      <w:pPr>
        <w:pStyle w:val="aa"/>
      </w:pPr>
      <w:hyperlink r:id="rId11" w:history="1">
        <w:r w:rsidR="002C32E3" w:rsidRPr="00321818">
          <w:rPr>
            <w:rStyle w:val="a3"/>
          </w:rPr>
          <w:t>http://www.consultant.ru/document/cons_doc_LAW_103446/</w:t>
        </w:r>
      </w:hyperlink>
      <w:r w:rsidR="002C32E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39C"/>
    <w:multiLevelType w:val="hybridMultilevel"/>
    <w:tmpl w:val="2B3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2C4"/>
    <w:multiLevelType w:val="hybridMultilevel"/>
    <w:tmpl w:val="2B3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515B"/>
    <w:multiLevelType w:val="hybridMultilevel"/>
    <w:tmpl w:val="AD24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5599"/>
    <w:multiLevelType w:val="hybridMultilevel"/>
    <w:tmpl w:val="2B3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3CC3"/>
    <w:multiLevelType w:val="hybridMultilevel"/>
    <w:tmpl w:val="8E9E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C4D06"/>
    <w:multiLevelType w:val="hybridMultilevel"/>
    <w:tmpl w:val="2B3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4067"/>
    <w:multiLevelType w:val="hybridMultilevel"/>
    <w:tmpl w:val="F758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5E7D"/>
    <w:multiLevelType w:val="hybridMultilevel"/>
    <w:tmpl w:val="4A1A1C6E"/>
    <w:lvl w:ilvl="0" w:tplc="1834E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2AC"/>
    <w:multiLevelType w:val="hybridMultilevel"/>
    <w:tmpl w:val="2A9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55C0"/>
    <w:multiLevelType w:val="hybridMultilevel"/>
    <w:tmpl w:val="C5D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75BE"/>
    <w:multiLevelType w:val="hybridMultilevel"/>
    <w:tmpl w:val="8D406F2E"/>
    <w:lvl w:ilvl="0" w:tplc="66EE4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B509E"/>
    <w:multiLevelType w:val="hybridMultilevel"/>
    <w:tmpl w:val="F3F6B412"/>
    <w:lvl w:ilvl="0" w:tplc="39F28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60962"/>
    <w:multiLevelType w:val="hybridMultilevel"/>
    <w:tmpl w:val="58788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3651FE"/>
    <w:multiLevelType w:val="hybridMultilevel"/>
    <w:tmpl w:val="A94A2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0885B2C"/>
    <w:multiLevelType w:val="hybridMultilevel"/>
    <w:tmpl w:val="C548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42E6"/>
    <w:multiLevelType w:val="hybridMultilevel"/>
    <w:tmpl w:val="2B3E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0789"/>
    <w:multiLevelType w:val="hybridMultilevel"/>
    <w:tmpl w:val="8C8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69E7"/>
    <w:multiLevelType w:val="hybridMultilevel"/>
    <w:tmpl w:val="357A0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66"/>
    <w:rsid w:val="00004EDF"/>
    <w:rsid w:val="000237BD"/>
    <w:rsid w:val="00031E42"/>
    <w:rsid w:val="00067895"/>
    <w:rsid w:val="00081D68"/>
    <w:rsid w:val="00091C90"/>
    <w:rsid w:val="000A71A5"/>
    <w:rsid w:val="000D1924"/>
    <w:rsid w:val="001561B6"/>
    <w:rsid w:val="001677C3"/>
    <w:rsid w:val="0017050C"/>
    <w:rsid w:val="00190677"/>
    <w:rsid w:val="002176C9"/>
    <w:rsid w:val="00225A7B"/>
    <w:rsid w:val="00233C80"/>
    <w:rsid w:val="00246AEF"/>
    <w:rsid w:val="00277AC4"/>
    <w:rsid w:val="002A3607"/>
    <w:rsid w:val="002C32E3"/>
    <w:rsid w:val="002E0673"/>
    <w:rsid w:val="002F60D8"/>
    <w:rsid w:val="00320143"/>
    <w:rsid w:val="00347935"/>
    <w:rsid w:val="00354372"/>
    <w:rsid w:val="0036211A"/>
    <w:rsid w:val="00396A0C"/>
    <w:rsid w:val="003F1592"/>
    <w:rsid w:val="00470B0E"/>
    <w:rsid w:val="0047313E"/>
    <w:rsid w:val="0053588C"/>
    <w:rsid w:val="00536A23"/>
    <w:rsid w:val="00564269"/>
    <w:rsid w:val="00573AAF"/>
    <w:rsid w:val="005C18F3"/>
    <w:rsid w:val="00645583"/>
    <w:rsid w:val="006C38B4"/>
    <w:rsid w:val="006C697E"/>
    <w:rsid w:val="006E24D2"/>
    <w:rsid w:val="006E7FFC"/>
    <w:rsid w:val="00712CB9"/>
    <w:rsid w:val="0072283D"/>
    <w:rsid w:val="00741466"/>
    <w:rsid w:val="00772C16"/>
    <w:rsid w:val="00780FFE"/>
    <w:rsid w:val="007C1A82"/>
    <w:rsid w:val="00812498"/>
    <w:rsid w:val="00885D29"/>
    <w:rsid w:val="008A629C"/>
    <w:rsid w:val="008B1B31"/>
    <w:rsid w:val="008B3EFA"/>
    <w:rsid w:val="008B75CD"/>
    <w:rsid w:val="008F39F2"/>
    <w:rsid w:val="008F6B97"/>
    <w:rsid w:val="009450B7"/>
    <w:rsid w:val="009A274A"/>
    <w:rsid w:val="00A03015"/>
    <w:rsid w:val="00A22D96"/>
    <w:rsid w:val="00A36240"/>
    <w:rsid w:val="00A4245D"/>
    <w:rsid w:val="00A55314"/>
    <w:rsid w:val="00A901CF"/>
    <w:rsid w:val="00AC5B1A"/>
    <w:rsid w:val="00AF132D"/>
    <w:rsid w:val="00B259A0"/>
    <w:rsid w:val="00B52959"/>
    <w:rsid w:val="00B76C97"/>
    <w:rsid w:val="00B8160E"/>
    <w:rsid w:val="00BB75AC"/>
    <w:rsid w:val="00C91AFE"/>
    <w:rsid w:val="00D53F9E"/>
    <w:rsid w:val="00D54ACE"/>
    <w:rsid w:val="00D7696A"/>
    <w:rsid w:val="00D86F1B"/>
    <w:rsid w:val="00D92F59"/>
    <w:rsid w:val="00DC3101"/>
    <w:rsid w:val="00DD7452"/>
    <w:rsid w:val="00E205E0"/>
    <w:rsid w:val="00E4501A"/>
    <w:rsid w:val="00E51DE2"/>
    <w:rsid w:val="00E53FA0"/>
    <w:rsid w:val="00E73CBD"/>
    <w:rsid w:val="00EA672B"/>
    <w:rsid w:val="00EB2247"/>
    <w:rsid w:val="00EC2E0F"/>
    <w:rsid w:val="00ED2116"/>
    <w:rsid w:val="00F06E73"/>
    <w:rsid w:val="00F9240C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C1FB-A49A-4783-90BB-9562DE0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74A"/>
  </w:style>
  <w:style w:type="paragraph" w:styleId="1">
    <w:name w:val="heading 1"/>
    <w:basedOn w:val="a"/>
    <w:next w:val="a"/>
    <w:link w:val="10"/>
    <w:qFormat/>
    <w:rsid w:val="00D53F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A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372"/>
  </w:style>
  <w:style w:type="paragraph" w:styleId="a8">
    <w:name w:val="footer"/>
    <w:basedOn w:val="a"/>
    <w:link w:val="a9"/>
    <w:uiPriority w:val="99"/>
    <w:unhideWhenUsed/>
    <w:rsid w:val="0035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372"/>
  </w:style>
  <w:style w:type="paragraph" w:styleId="aa">
    <w:name w:val="footnote text"/>
    <w:aliases w:val="single space,footnote text,Текст сноски-FN,Footnote Text Char Знак Знак,Footnote Text Char Знак"/>
    <w:basedOn w:val="a"/>
    <w:link w:val="ab"/>
    <w:uiPriority w:val="99"/>
    <w:unhideWhenUsed/>
    <w:rsid w:val="002E06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single space Знак1,footnote text Знак1,Текст сноски-FN Знак1,Footnote Text Char Знак Знак Знак1,Footnote Text Char Знак Знак2"/>
    <w:basedOn w:val="a0"/>
    <w:link w:val="aa"/>
    <w:uiPriority w:val="99"/>
    <w:rsid w:val="002E0673"/>
    <w:rPr>
      <w:sz w:val="20"/>
      <w:szCs w:val="20"/>
    </w:rPr>
  </w:style>
  <w:style w:type="character" w:styleId="ac">
    <w:name w:val="footnote reference"/>
    <w:aliases w:val="Знак сноски-FN"/>
    <w:basedOn w:val="a0"/>
    <w:semiHidden/>
    <w:unhideWhenUsed/>
    <w:rsid w:val="002E0673"/>
    <w:rPr>
      <w:vertAlign w:val="superscript"/>
    </w:rPr>
  </w:style>
  <w:style w:type="paragraph" w:styleId="ad">
    <w:name w:val="List Paragraph"/>
    <w:basedOn w:val="a"/>
    <w:uiPriority w:val="34"/>
    <w:qFormat/>
    <w:rsid w:val="002E0673"/>
    <w:pPr>
      <w:ind w:left="720"/>
      <w:contextualSpacing/>
    </w:pPr>
  </w:style>
  <w:style w:type="table" w:styleId="ae">
    <w:name w:val="Table Grid"/>
    <w:basedOn w:val="a1"/>
    <w:uiPriority w:val="59"/>
    <w:rsid w:val="002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233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2">
    <w:name w:val="Текст сноски Знак1"/>
    <w:aliases w:val="single space Знак,footnote text Знак,Текст сноски-FN Знак,Footnote Text Char Знак Знак Знак,Footnote Text Char Знак Знак1"/>
    <w:basedOn w:val="a0"/>
    <w:rsid w:val="00D53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s.gov.ru/documents/573950" TargetMode="External"/><Relationship Id="rId18" Type="http://schemas.openxmlformats.org/officeDocument/2006/relationships/hyperlink" Target="https://www.agroinvestor.ru/markets/article/26258-plata-za-vyvoz/" TargetMode="External"/><Relationship Id="rId26" Type="http://schemas.openxmlformats.org/officeDocument/2006/relationships/hyperlink" Target="https://www.mintrans.ru/documents/3/1009" TargetMode="External"/><Relationship Id="rId39" Type="http://schemas.openxmlformats.org/officeDocument/2006/relationships/hyperlink" Target="https://www.mintrans.ru/press-center/interviews/19" TargetMode="External"/><Relationship Id="rId21" Type="http://schemas.openxmlformats.org/officeDocument/2006/relationships/hyperlink" Target="http://www.agbz.ru/articles/perevozka-zerna-morem--obzor-logisticheskogo-segmenta" TargetMode="External"/><Relationship Id="rId34" Type="http://schemas.openxmlformats.org/officeDocument/2006/relationships/hyperlink" Target="https://www.argusmedia.com/-/media/Files/sample-reports/argus-neftetransport-russian.ashx?la=ru&amp;hash=23F666A0AEB1D8F60EAB23306C105AF0518D552C" TargetMode="External"/><Relationship Id="rId42" Type="http://schemas.openxmlformats.org/officeDocument/2006/relationships/hyperlink" Target="https://fac.ksu.edu.sa/sites/default/files/microeco-_varian.pdf" TargetMode="External"/><Relationship Id="rId47" Type="http://schemas.openxmlformats.org/officeDocument/2006/relationships/hyperlink" Target="http://journal.econorus.org/pdf/NEA-20.pdf" TargetMode="External"/><Relationship Id="rId50" Type="http://schemas.openxmlformats.org/officeDocument/2006/relationships/hyperlink" Target="https://www.gks.ru" TargetMode="External"/><Relationship Id="rId55" Type="http://schemas.openxmlformats.org/officeDocument/2006/relationships/hyperlink" Target="http://www.consultant.ru/document/cons_doc_LAW_61763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intrans.ru/press-center/interviews/19" TargetMode="External"/><Relationship Id="rId29" Type="http://schemas.openxmlformats.org/officeDocument/2006/relationships/hyperlink" Target="http://morcenter.ru/news/gruzooborot-morskih-portov-rossii-za-yanvar-mart-2016-g" TargetMode="External"/><Relationship Id="rId11" Type="http://schemas.openxmlformats.org/officeDocument/2006/relationships/hyperlink" Target="http://base.garant.ru/12177774/" TargetMode="External"/><Relationship Id="rId24" Type="http://schemas.openxmlformats.org/officeDocument/2006/relationships/hyperlink" Target="http://www.russianports.ru/" TargetMode="External"/><Relationship Id="rId32" Type="http://schemas.openxmlformats.org/officeDocument/2006/relationships/hyperlink" Target="https://unctad.org/en/pages/PublicationWebflyer.aspx?publicationid=1374" TargetMode="External"/><Relationship Id="rId37" Type="http://schemas.openxmlformats.org/officeDocument/2006/relationships/hyperlink" Target="https://vc.ru/legal/82861-fas-zakryla-delo-protiv-superjob-i-rabota-ru-po-obvineniyam-v-ogranichenii-konkurencii" TargetMode="External"/><Relationship Id="rId40" Type="http://schemas.openxmlformats.org/officeDocument/2006/relationships/hyperlink" Target="https://www.mintrans.ru/press-center/news/2974" TargetMode="External"/><Relationship Id="rId45" Type="http://schemas.openxmlformats.org/officeDocument/2006/relationships/hyperlink" Target="https://www.mintrans.ru/press-center/news/2974" TargetMode="External"/><Relationship Id="rId53" Type="http://schemas.openxmlformats.org/officeDocument/2006/relationships/hyperlink" Target="https://www.gks.ru" TargetMode="External"/><Relationship Id="rId58" Type="http://schemas.openxmlformats.org/officeDocument/2006/relationships/hyperlink" Target="https://mail2.hse.ru/owa/redir.aspx?C=kMZtx3t5RkWf2J9jFrMpxYKxBvZ4L8JEMX7is_uAUNqIzUA8WYTWCA..&amp;URL=http%3a%2f%2fproxylibrary.hse.ru%3a2048%2flogin%3furl%3dhttps%3a%2f%2febookcentral.proquest.com%2flib%2fhselibrary-ebooks%2fdetail.action%3fdocID%3d544955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intrans.ru/pressa/TransStrat_Trans_Econom_Balance_2_1.htm" TargetMode="External"/><Relationship Id="rId19" Type="http://schemas.openxmlformats.org/officeDocument/2006/relationships/hyperlink" Target="http://www.morvesti.ru/tems/detail.php?ID=75356" TargetMode="External"/><Relationship Id="rId14" Type="http://schemas.openxmlformats.org/officeDocument/2006/relationships/hyperlink" Target="http://base.garant.ru/12177774/" TargetMode="External"/><Relationship Id="rId22" Type="http://schemas.openxmlformats.org/officeDocument/2006/relationships/hyperlink" Target="https://clck.ru/J7Lqh" TargetMode="External"/><Relationship Id="rId27" Type="http://schemas.openxmlformats.org/officeDocument/2006/relationships/hyperlink" Target="https://www.gks.ru" TargetMode="External"/><Relationship Id="rId30" Type="http://schemas.openxmlformats.org/officeDocument/2006/relationships/hyperlink" Target="https://arsenalgroup.ru/news/1151" TargetMode="External"/><Relationship Id="rId35" Type="http://schemas.openxmlformats.org/officeDocument/2006/relationships/hyperlink" Target="https://www.mintrans.ru/press-center/news/2974" TargetMode="External"/><Relationship Id="rId43" Type="http://schemas.openxmlformats.org/officeDocument/2006/relationships/hyperlink" Target="http://www.consultant.ru/document/cons_doc_LAW_103446/" TargetMode="External"/><Relationship Id="rId48" Type="http://schemas.openxmlformats.org/officeDocument/2006/relationships/hyperlink" Target="http://kad.arbitr.ru" TargetMode="External"/><Relationship Id="rId56" Type="http://schemas.openxmlformats.org/officeDocument/2006/relationships/hyperlink" Target="https://works.bepress.com/jeffrey_church/23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rostov.fas.gov.ru/poll/6627" TargetMode="External"/><Relationship Id="rId51" Type="http://schemas.openxmlformats.org/officeDocument/2006/relationships/hyperlink" Target="http://journal.econorus.org/pdf/NEA-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77774/" TargetMode="External"/><Relationship Id="rId17" Type="http://schemas.openxmlformats.org/officeDocument/2006/relationships/hyperlink" Target="http://glogos.net/frahtovye-otchety/" TargetMode="External"/><Relationship Id="rId25" Type="http://schemas.openxmlformats.org/officeDocument/2006/relationships/hyperlink" Target="https://www.mintrans.ru/press-center/news/2974" TargetMode="External"/><Relationship Id="rId33" Type="http://schemas.openxmlformats.org/officeDocument/2006/relationships/hyperlink" Target="http://www.ipem.ru/files/files/other/poyasnitelnaya_zapiska_prezentaciya.pdf" TargetMode="External"/><Relationship Id="rId38" Type="http://schemas.openxmlformats.org/officeDocument/2006/relationships/hyperlink" Target="http://www.consultant.ru/document/cons_doc_LAW_103446/" TargetMode="External"/><Relationship Id="rId46" Type="http://schemas.openxmlformats.org/officeDocument/2006/relationships/hyperlink" Target="https://www.mintrans.ru/documents/3/1009" TargetMode="External"/><Relationship Id="rId59" Type="http://schemas.openxmlformats.org/officeDocument/2006/relationships/hyperlink" Target="http://www.mineral.ru/Analytics/worldtrend/129/270/index.html" TargetMode="External"/><Relationship Id="rId20" Type="http://schemas.openxmlformats.org/officeDocument/2006/relationships/hyperlink" Target="https://morproekt.ru/attachments/article/168/3-2%D0%BF.pdf" TargetMode="External"/><Relationship Id="rId41" Type="http://schemas.openxmlformats.org/officeDocument/2006/relationships/hyperlink" Target="https://www.mintrans.ru/documents/3/1009" TargetMode="External"/><Relationship Id="rId54" Type="http://schemas.openxmlformats.org/officeDocument/2006/relationships/hyperlink" Target="http://www.consultant.ru/document/cons_doc_LAW_103446/" TargetMode="External"/><Relationship Id="rId62" Type="http://schemas.openxmlformats.org/officeDocument/2006/relationships/hyperlink" Target="https://www.mintrans.ru/ministry/results/180/docu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ks.ru" TargetMode="External"/><Relationship Id="rId23" Type="http://schemas.openxmlformats.org/officeDocument/2006/relationships/hyperlink" Target="http://www.morvesti.ru/analitics/detail.php?ID=23608" TargetMode="External"/><Relationship Id="rId28" Type="http://schemas.openxmlformats.org/officeDocument/2006/relationships/hyperlink" Target="https://minenergo.gov.ru" TargetMode="External"/><Relationship Id="rId36" Type="http://schemas.openxmlformats.org/officeDocument/2006/relationships/hyperlink" Target="https://www.mintrans.ru/documents/3/1009" TargetMode="External"/><Relationship Id="rId49" Type="http://schemas.openxmlformats.org/officeDocument/2006/relationships/hyperlink" Target="http://kad.arbitr.ru" TargetMode="External"/><Relationship Id="rId57" Type="http://schemas.openxmlformats.org/officeDocument/2006/relationships/hyperlink" Target="https://edisciplinas.usp.br/pluginfile.php/544042/mod_resource/content/1/ChurchWare.pdf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sudact.ru/law/strategiia-razvitiia-morskoi-portovoi-infrastruktury-rossii-do/" TargetMode="External"/><Relationship Id="rId44" Type="http://schemas.openxmlformats.org/officeDocument/2006/relationships/hyperlink" Target="https://www.mintrans.ru/press-center/interviews/19" TargetMode="External"/><Relationship Id="rId52" Type="http://schemas.openxmlformats.org/officeDocument/2006/relationships/hyperlink" Target="http://kad.arbitr.ru" TargetMode="External"/><Relationship Id="rId60" Type="http://schemas.openxmlformats.org/officeDocument/2006/relationships/hyperlink" Target="http://dkvartal.ru/krsk/magazines/dk-krsk/2009/n21/krupnejjshie_gruzoperevozch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omosti.ru/opinion/articles/2016/09/09/656282-onlain-igri-chinovnikov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iso.com/blog/2018/08/the-rise-of-platform-business-how-digital-networks-are-changing-competition/" TargetMode="External"/><Relationship Id="rId3" Type="http://schemas.openxmlformats.org/officeDocument/2006/relationships/hyperlink" Target="http://www.consultant.ru/document/cons_doc_LAW_103446/" TargetMode="External"/><Relationship Id="rId7" Type="http://schemas.openxmlformats.org/officeDocument/2006/relationships/hyperlink" Target="https://ec.europa.eu/growth/industry/policy/digital-transformation/big-data-digital-platforms_da" TargetMode="External"/><Relationship Id="rId2" Type="http://schemas.openxmlformats.org/officeDocument/2006/relationships/hyperlink" Target="http://www.consultant.ru/document/cons_doc_LAW_103446/" TargetMode="External"/><Relationship Id="rId1" Type="http://schemas.openxmlformats.org/officeDocument/2006/relationships/hyperlink" Target="http://www.consultant.ru/document/cons_doc_LAW_103446/" TargetMode="External"/><Relationship Id="rId6" Type="http://schemas.openxmlformats.org/officeDocument/2006/relationships/hyperlink" Target="http://www.consultant.ru/document/cons_doc_LAW_103446/" TargetMode="External"/><Relationship Id="rId11" Type="http://schemas.openxmlformats.org/officeDocument/2006/relationships/hyperlink" Target="http://www.consultant.ru/document/cons_doc_LAW_103446/" TargetMode="External"/><Relationship Id="rId5" Type="http://schemas.openxmlformats.org/officeDocument/2006/relationships/hyperlink" Target="http://www.consultant.ru/document/cons_doc_LAW_103446/" TargetMode="External"/><Relationship Id="rId10" Type="http://schemas.openxmlformats.org/officeDocument/2006/relationships/hyperlink" Target="http://www.consultant.ru/document/cons_doc_LAW_103446/" TargetMode="External"/><Relationship Id="rId4" Type="http://schemas.openxmlformats.org/officeDocument/2006/relationships/hyperlink" Target="http://www.consultant.ru/document/cons_doc_LAW_103446/" TargetMode="External"/><Relationship Id="rId9" Type="http://schemas.openxmlformats.org/officeDocument/2006/relationships/hyperlink" Target="http://www.consultant.ru/document/cons_doc_LAW_103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 Maxim</dc:creator>
  <cp:keywords/>
  <dc:description/>
  <cp:lastModifiedBy>Войко Александр Вячеславович</cp:lastModifiedBy>
  <cp:revision>2</cp:revision>
  <dcterms:created xsi:type="dcterms:W3CDTF">2019-12-13T08:20:00Z</dcterms:created>
  <dcterms:modified xsi:type="dcterms:W3CDTF">2019-12-13T08:20:00Z</dcterms:modified>
</cp:coreProperties>
</file>