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1218F" w14:textId="0C73D3FF" w:rsidR="005A0ECD" w:rsidRPr="00734A7B" w:rsidRDefault="000436AF" w:rsidP="00734A7B">
      <w:pPr>
        <w:jc w:val="center"/>
        <w:rPr>
          <w:rFonts w:ascii="Times New Roman" w:hAnsi="Times New Roman" w:cs="Times New Roman"/>
          <w:sz w:val="32"/>
          <w:szCs w:val="32"/>
        </w:rPr>
      </w:pPr>
      <w:r w:rsidRPr="00734A7B">
        <w:rPr>
          <w:rFonts w:ascii="Times New Roman" w:hAnsi="Times New Roman" w:cs="Times New Roman"/>
          <w:sz w:val="32"/>
          <w:szCs w:val="32"/>
        </w:rPr>
        <w:t>Федеральное государственное автономное образовательное</w:t>
      </w:r>
    </w:p>
    <w:p w14:paraId="00ADDFE8" w14:textId="372512F6" w:rsidR="000436AF" w:rsidRPr="00734A7B" w:rsidRDefault="000436AF" w:rsidP="00734A7B">
      <w:pPr>
        <w:jc w:val="center"/>
        <w:rPr>
          <w:rFonts w:ascii="Times New Roman" w:hAnsi="Times New Roman" w:cs="Times New Roman"/>
          <w:sz w:val="32"/>
          <w:szCs w:val="32"/>
        </w:rPr>
      </w:pPr>
      <w:r w:rsidRPr="00734A7B">
        <w:rPr>
          <w:rFonts w:ascii="Times New Roman" w:hAnsi="Times New Roman" w:cs="Times New Roman"/>
          <w:sz w:val="32"/>
          <w:szCs w:val="32"/>
        </w:rPr>
        <w:t>учреждение высшего образования</w:t>
      </w:r>
    </w:p>
    <w:p w14:paraId="5A09FBD5" w14:textId="77777777" w:rsidR="000436AF" w:rsidRPr="00734A7B" w:rsidRDefault="000436AF" w:rsidP="00734A7B">
      <w:pPr>
        <w:jc w:val="center"/>
        <w:rPr>
          <w:rFonts w:ascii="Times New Roman" w:hAnsi="Times New Roman" w:cs="Times New Roman"/>
          <w:sz w:val="32"/>
          <w:szCs w:val="32"/>
        </w:rPr>
      </w:pPr>
      <w:r w:rsidRPr="00734A7B">
        <w:rPr>
          <w:rFonts w:ascii="Times New Roman" w:hAnsi="Times New Roman" w:cs="Times New Roman"/>
          <w:sz w:val="32"/>
          <w:szCs w:val="32"/>
        </w:rPr>
        <w:t>«Национальный исследовательский университет</w:t>
      </w:r>
    </w:p>
    <w:p w14:paraId="24553598" w14:textId="21BF2190" w:rsidR="000436AF" w:rsidRPr="00734A7B" w:rsidRDefault="000436AF" w:rsidP="00734A7B">
      <w:pPr>
        <w:jc w:val="center"/>
        <w:rPr>
          <w:rFonts w:ascii="Times New Roman" w:hAnsi="Times New Roman" w:cs="Times New Roman"/>
          <w:sz w:val="32"/>
          <w:szCs w:val="32"/>
        </w:rPr>
      </w:pPr>
      <w:r w:rsidRPr="00734A7B">
        <w:rPr>
          <w:rFonts w:ascii="Times New Roman" w:hAnsi="Times New Roman" w:cs="Times New Roman"/>
          <w:sz w:val="32"/>
          <w:szCs w:val="32"/>
        </w:rPr>
        <w:t>«Высшая школа экономики»</w:t>
      </w:r>
    </w:p>
    <w:p w14:paraId="3C7744F0" w14:textId="059ECB9E" w:rsidR="000436AF" w:rsidRPr="00734A7B" w:rsidRDefault="000436AF" w:rsidP="00734A7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7F621AC" w14:textId="77777777" w:rsidR="000436AF" w:rsidRPr="00734A7B" w:rsidRDefault="000436AF" w:rsidP="00734A7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E858541" w14:textId="0E30942D" w:rsidR="000436AF" w:rsidRPr="00734A7B" w:rsidRDefault="000436AF" w:rsidP="00734A7B">
      <w:pPr>
        <w:jc w:val="right"/>
        <w:rPr>
          <w:rFonts w:ascii="Times New Roman" w:hAnsi="Times New Roman" w:cs="Times New Roman"/>
          <w:i/>
          <w:iCs/>
          <w:sz w:val="32"/>
          <w:szCs w:val="32"/>
        </w:rPr>
      </w:pPr>
      <w:r w:rsidRPr="00734A7B">
        <w:rPr>
          <w:rFonts w:ascii="Times New Roman" w:hAnsi="Times New Roman" w:cs="Times New Roman"/>
          <w:i/>
          <w:iCs/>
          <w:sz w:val="32"/>
          <w:szCs w:val="32"/>
        </w:rPr>
        <w:t>На правах рукописи</w:t>
      </w:r>
    </w:p>
    <w:p w14:paraId="78B144F5" w14:textId="7ED069AD" w:rsidR="000436AF" w:rsidRPr="00734A7B" w:rsidRDefault="000436AF" w:rsidP="00734A7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C731580" w14:textId="7876A2F1" w:rsidR="000436AF" w:rsidRPr="00734A7B" w:rsidRDefault="000436AF" w:rsidP="00734A7B">
      <w:pPr>
        <w:jc w:val="center"/>
        <w:rPr>
          <w:rFonts w:ascii="Times New Roman" w:hAnsi="Times New Roman" w:cs="Times New Roman"/>
          <w:sz w:val="32"/>
          <w:szCs w:val="32"/>
        </w:rPr>
      </w:pPr>
      <w:r w:rsidRPr="00734A7B">
        <w:rPr>
          <w:rFonts w:ascii="Times New Roman" w:hAnsi="Times New Roman" w:cs="Times New Roman"/>
          <w:sz w:val="32"/>
          <w:szCs w:val="32"/>
        </w:rPr>
        <w:t>Цветкова Анна Николаевна</w:t>
      </w:r>
    </w:p>
    <w:p w14:paraId="7A55E11F" w14:textId="77777777" w:rsidR="000436AF" w:rsidRPr="00734A7B" w:rsidRDefault="000436AF" w:rsidP="00734A7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E50FF63" w14:textId="4BAA5FEB" w:rsidR="000436AF" w:rsidRPr="007D33CC" w:rsidRDefault="000436AF" w:rsidP="00734A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33CC">
        <w:rPr>
          <w:rFonts w:ascii="Times New Roman" w:hAnsi="Times New Roman" w:cs="Times New Roman"/>
          <w:b/>
          <w:sz w:val="32"/>
          <w:szCs w:val="32"/>
        </w:rPr>
        <w:t>РОСТ НЕОДНОРОДНОСТИ ПРОИЗВОДИТЕЛЬНОСТИ: АНАЛИЗ МИКРОДАННЫХ</w:t>
      </w:r>
    </w:p>
    <w:p w14:paraId="622E855F" w14:textId="2DBF86E6" w:rsidR="000436AF" w:rsidRPr="007D33CC" w:rsidRDefault="000436AF" w:rsidP="00734A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A6E2EC" w14:textId="485C4882" w:rsidR="000436AF" w:rsidRPr="007D33CC" w:rsidRDefault="000436AF" w:rsidP="00734A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75675BA" w14:textId="2DBC16C7" w:rsidR="000436AF" w:rsidRPr="00734A7B" w:rsidRDefault="000436AF" w:rsidP="00734A7B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734A7B">
        <w:rPr>
          <w:rFonts w:ascii="Times New Roman" w:hAnsi="Times New Roman" w:cs="Times New Roman"/>
          <w:bCs/>
          <w:sz w:val="32"/>
          <w:szCs w:val="32"/>
        </w:rPr>
        <w:t>РЕЗЮМЕ</w:t>
      </w:r>
    </w:p>
    <w:p w14:paraId="23C2A26B" w14:textId="1C435943" w:rsidR="000436AF" w:rsidRPr="00734A7B" w:rsidRDefault="000436AF" w:rsidP="00734A7B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734A7B">
        <w:rPr>
          <w:rFonts w:ascii="Times New Roman" w:hAnsi="Times New Roman" w:cs="Times New Roman"/>
          <w:bCs/>
          <w:sz w:val="32"/>
          <w:szCs w:val="32"/>
        </w:rPr>
        <w:t>диссертации на соискание учёной степени</w:t>
      </w:r>
    </w:p>
    <w:p w14:paraId="5EC422EC" w14:textId="3851E005" w:rsidR="000436AF" w:rsidRPr="00734A7B" w:rsidRDefault="000436AF" w:rsidP="00734A7B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734A7B">
        <w:rPr>
          <w:rFonts w:ascii="Times New Roman" w:hAnsi="Times New Roman" w:cs="Times New Roman"/>
          <w:bCs/>
          <w:sz w:val="32"/>
          <w:szCs w:val="32"/>
        </w:rPr>
        <w:t>кандидата экономических наук</w:t>
      </w:r>
    </w:p>
    <w:p w14:paraId="380BEB92" w14:textId="3C590C04" w:rsidR="000436AF" w:rsidRPr="00734A7B" w:rsidRDefault="000436AF" w:rsidP="00734A7B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3F2ED656" w14:textId="02E175C4" w:rsidR="000436AF" w:rsidRPr="00734A7B" w:rsidRDefault="000436AF" w:rsidP="00734A7B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1E6F8F7C" w14:textId="1D5AC73C" w:rsidR="000436AF" w:rsidRPr="00734A7B" w:rsidRDefault="000436AF" w:rsidP="00734A7B">
      <w:pPr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734A7B">
        <w:rPr>
          <w:rFonts w:ascii="Times New Roman" w:hAnsi="Times New Roman" w:cs="Times New Roman"/>
          <w:bCs/>
          <w:sz w:val="32"/>
          <w:szCs w:val="32"/>
        </w:rPr>
        <w:t>Научный руководитель:</w:t>
      </w:r>
    </w:p>
    <w:p w14:paraId="3E9A0B42" w14:textId="69989D93" w:rsidR="000436AF" w:rsidRPr="00734A7B" w:rsidRDefault="000436AF" w:rsidP="00734A7B">
      <w:pPr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734A7B">
        <w:rPr>
          <w:rFonts w:ascii="Times New Roman" w:hAnsi="Times New Roman" w:cs="Times New Roman"/>
          <w:bCs/>
          <w:sz w:val="32"/>
          <w:szCs w:val="32"/>
        </w:rPr>
        <w:t>доктор экономических наук</w:t>
      </w:r>
    </w:p>
    <w:p w14:paraId="1EE1F782" w14:textId="2E52D900" w:rsidR="000436AF" w:rsidRPr="00734A7B" w:rsidRDefault="000436AF" w:rsidP="00734A7B">
      <w:pPr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734A7B">
        <w:rPr>
          <w:rFonts w:ascii="Times New Roman" w:hAnsi="Times New Roman" w:cs="Times New Roman"/>
          <w:bCs/>
          <w:sz w:val="32"/>
          <w:szCs w:val="32"/>
        </w:rPr>
        <w:t>Пересецкий Анатолий Абрамович</w:t>
      </w:r>
    </w:p>
    <w:p w14:paraId="3B5BAEFD" w14:textId="4754FF85" w:rsidR="000436AF" w:rsidRPr="00734A7B" w:rsidRDefault="000436AF" w:rsidP="00734A7B">
      <w:pPr>
        <w:jc w:val="right"/>
        <w:rPr>
          <w:rFonts w:ascii="Times New Roman" w:hAnsi="Times New Roman" w:cs="Times New Roman"/>
          <w:bCs/>
          <w:sz w:val="32"/>
          <w:szCs w:val="32"/>
        </w:rPr>
      </w:pPr>
    </w:p>
    <w:p w14:paraId="22DB6277" w14:textId="402D560B" w:rsidR="000436AF" w:rsidRPr="007D33CC" w:rsidRDefault="000436AF" w:rsidP="00734A7B">
      <w:pPr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734A7B">
        <w:rPr>
          <w:rFonts w:ascii="Times New Roman" w:hAnsi="Times New Roman" w:cs="Times New Roman"/>
          <w:bCs/>
          <w:sz w:val="32"/>
          <w:szCs w:val="32"/>
          <w:lang w:val="en-US"/>
        </w:rPr>
        <w:t>JEL</w:t>
      </w:r>
      <w:r w:rsidRPr="007D33CC">
        <w:rPr>
          <w:rFonts w:ascii="Times New Roman" w:hAnsi="Times New Roman" w:cs="Times New Roman"/>
          <w:bCs/>
          <w:sz w:val="32"/>
          <w:szCs w:val="32"/>
        </w:rPr>
        <w:t>:</w:t>
      </w:r>
      <w:r w:rsidRPr="00734A7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34A7B">
        <w:rPr>
          <w:rFonts w:ascii="Times New Roman" w:hAnsi="Times New Roman" w:cs="Times New Roman"/>
          <w:bCs/>
          <w:sz w:val="32"/>
          <w:szCs w:val="32"/>
          <w:lang w:val="en-US"/>
        </w:rPr>
        <w:t>D</w:t>
      </w:r>
      <w:r w:rsidRPr="007D33CC">
        <w:rPr>
          <w:rFonts w:ascii="Times New Roman" w:hAnsi="Times New Roman" w:cs="Times New Roman"/>
          <w:bCs/>
          <w:sz w:val="32"/>
          <w:szCs w:val="32"/>
        </w:rPr>
        <w:t>24</w:t>
      </w:r>
    </w:p>
    <w:p w14:paraId="64E6F4AE" w14:textId="0B45A7E8" w:rsidR="000436AF" w:rsidRPr="007D33CC" w:rsidRDefault="000436AF" w:rsidP="00734A7B">
      <w:pPr>
        <w:jc w:val="right"/>
        <w:rPr>
          <w:rFonts w:ascii="Times New Roman" w:hAnsi="Times New Roman" w:cs="Times New Roman"/>
          <w:bCs/>
          <w:sz w:val="32"/>
          <w:szCs w:val="32"/>
        </w:rPr>
      </w:pPr>
    </w:p>
    <w:p w14:paraId="31CFEE67" w14:textId="10F9BD2A" w:rsidR="00734A7B" w:rsidRPr="00734A7B" w:rsidRDefault="000436AF" w:rsidP="00734A7B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734A7B">
        <w:rPr>
          <w:rFonts w:ascii="Times New Roman" w:hAnsi="Times New Roman" w:cs="Times New Roman"/>
          <w:bCs/>
          <w:sz w:val="32"/>
          <w:szCs w:val="32"/>
        </w:rPr>
        <w:t>Москва – 2021</w:t>
      </w:r>
      <w:r w:rsidR="00734A7B" w:rsidRPr="00734A7B">
        <w:rPr>
          <w:rFonts w:ascii="Times New Roman" w:hAnsi="Times New Roman" w:cs="Times New Roman"/>
          <w:bCs/>
          <w:sz w:val="32"/>
          <w:szCs w:val="32"/>
        </w:rPr>
        <w:br w:type="page"/>
      </w:r>
    </w:p>
    <w:p w14:paraId="7210C84B" w14:textId="77777777" w:rsidR="00037C6A" w:rsidRPr="00037C6A" w:rsidRDefault="00037C6A" w:rsidP="00037C6A">
      <w:pPr>
        <w:keepNext/>
        <w:spacing w:before="240"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7C6A">
        <w:rPr>
          <w:rFonts w:ascii="Times New Roman" w:hAnsi="Times New Roman" w:cs="Times New Roman"/>
          <w:b/>
          <w:sz w:val="32"/>
          <w:szCs w:val="32"/>
        </w:rPr>
        <w:lastRenderedPageBreak/>
        <w:t>Актуальность исследования</w:t>
      </w:r>
    </w:p>
    <w:p w14:paraId="08E0E467" w14:textId="3D40D4D4" w:rsidR="00037C6A" w:rsidRPr="00037C6A" w:rsidRDefault="00037C6A" w:rsidP="00037C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Многочисленные исследования, посвященные динамике производительности труда в различных странах, </w:t>
      </w:r>
      <w:r w:rsidR="003F64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свидетельствуют</w:t>
      </w:r>
      <w:r w:rsidRPr="0003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значительном снижении темпов ее роста после кризиса 2008 г. В последние годы развитые страны пережили замедление темпов и многофакторной производительности (</w:t>
      </w:r>
      <w:r w:rsidRPr="0003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TFP</w:t>
      </w:r>
      <w:r w:rsidRPr="0003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 Эти тенденции просматриваются</w:t>
      </w:r>
      <w:r w:rsidR="005245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</w:t>
      </w:r>
      <w:r w:rsidRPr="0003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уровне агрегированных данных</w:t>
      </w:r>
      <w:r w:rsidR="005245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так</w:t>
      </w:r>
      <w:r w:rsidRPr="0003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на микроуровне.</w:t>
      </w:r>
      <w:bookmarkStart w:id="0" w:name="_Ref2260170"/>
    </w:p>
    <w:bookmarkEnd w:id="0"/>
    <w:p w14:paraId="7644034C" w14:textId="6FE45529" w:rsidR="00037C6A" w:rsidRPr="00037C6A" w:rsidRDefault="00037C6A" w:rsidP="00037C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787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некоторых работах замедление темпов роста производительности связ</w:t>
      </w:r>
      <w:r w:rsidR="00A75D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ывают с изменением характера технического прогресса: рост на границе производственных возможностей ниже, чем был в период более радикальных инноваций</w:t>
      </w:r>
      <w:r w:rsidR="00FC0969" w:rsidRPr="00FC09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FC09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Gordon</w:t>
      </w:r>
      <w:r w:rsidR="00FC0969" w:rsidRPr="00FC09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2015)</w:t>
      </w:r>
      <w:r w:rsidR="00A75D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C163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других работах в качестве основной причины замедления темпов роста производительности труда (или </w:t>
      </w:r>
      <w:r w:rsidR="00C163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TFP</w:t>
      </w:r>
      <w:r w:rsidR="00C163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C163AD" w:rsidRPr="00C163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163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указывается р</w:t>
      </w:r>
      <w:r w:rsidRPr="0003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астущее неравенство</w:t>
      </w:r>
      <w:r w:rsidR="005245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между предприятиями по уровню данного показателя</w:t>
      </w:r>
      <w:r w:rsidR="00FC0969" w:rsidRPr="00FC0969">
        <w:rPr>
          <w:rStyle w:val="a8"/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C0969" w:rsidRPr="00FC09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FC09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Akcigit</w:t>
      </w:r>
      <w:r w:rsidR="00FC0969" w:rsidRPr="00FC09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C09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and</w:t>
      </w:r>
      <w:r w:rsidR="00FC0969" w:rsidRPr="00FC09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C09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Ates</w:t>
      </w:r>
      <w:r w:rsidR="00FC0969" w:rsidRPr="00FC09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2019)</w:t>
      </w:r>
      <w:r w:rsidRPr="0003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Согласно </w:t>
      </w:r>
      <w:r w:rsidR="00C163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этой</w:t>
      </w:r>
      <w:r w:rsidRPr="0003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гипотезе, рост на границе производственных возможностей остается высоким. Причина совокупного замедления роста производительности </w:t>
      </w:r>
      <w:r w:rsidR="00C163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03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изменение результатов деятельности фирм, работающих не на этой границе, а на расстоянии от неё.</w:t>
      </w:r>
    </w:p>
    <w:p w14:paraId="2A3F60F7" w14:textId="52A70BA2" w:rsidR="00037C6A" w:rsidRPr="00037C6A" w:rsidRDefault="00037C6A" w:rsidP="00037C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Анализ данных по предприятиям позволяет исследовать не только среднюю динамику производительности, но и какие изменения в неоднородности уровней производительности сопровождают наблюдаемые на макроуровне тенденции: происходит ли конвергенция или дивергенция в уровнях производительности труда.</w:t>
      </w:r>
    </w:p>
    <w:p w14:paraId="5C779C00" w14:textId="0BC60227" w:rsidR="00037C6A" w:rsidRPr="00037C6A" w:rsidRDefault="00037C6A" w:rsidP="00037C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исследованиях, использующих данные предприятий в различных странах, отмечается существенный разрыв между высоко- и низкоэффективными компаниями в рамках отдельных отраслей</w:t>
      </w:r>
      <w:r w:rsidR="00FC0969" w:rsidRPr="00FC09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C0969" w:rsidRPr="00FC09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FC09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Cunninghum</w:t>
      </w:r>
      <w:r w:rsidR="00FC0969" w:rsidRPr="00FC09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C09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et</w:t>
      </w:r>
      <w:r w:rsidR="00FC0969" w:rsidRPr="00FC09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C09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al</w:t>
      </w:r>
      <w:r w:rsidR="00FC0969" w:rsidRPr="00FC096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., 2017)</w:t>
      </w:r>
      <w:r w:rsidRPr="0003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Распределение уровней производительности устойчиво, миграция из групп низкой производительности в группу лидеров происходит редко.</w:t>
      </w:r>
    </w:p>
    <w:p w14:paraId="2581DF7E" w14:textId="58E668CC" w:rsidR="00037C6A" w:rsidRPr="00037C6A" w:rsidRDefault="00037C6A" w:rsidP="00037C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Однако в ряде работ показано, что у наименее производительных предприятий наблюдаются более высокие темпы роста этого показателя, что должно приводить к конвергенции уровней производительности</w:t>
      </w:r>
      <w:r w:rsidR="00FC0969" w:rsidRPr="00FC09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FC09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Griffith</w:t>
      </w:r>
      <w:r w:rsidR="00FC0969" w:rsidRPr="00FC09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C09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et</w:t>
      </w:r>
      <w:r w:rsidR="00FC0969" w:rsidRPr="00FC09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C09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al</w:t>
      </w:r>
      <w:r w:rsidR="00FC0969" w:rsidRPr="00FC09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., </w:t>
      </w:r>
      <w:r w:rsidR="00FC0969" w:rsidRPr="00FC09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2009; </w:t>
      </w:r>
      <w:r w:rsidR="00FC09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Bournakis</w:t>
      </w:r>
      <w:r w:rsidR="00FC0969" w:rsidRPr="00FC09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C09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and</w:t>
      </w:r>
      <w:r w:rsidR="00FC0969" w:rsidRPr="00FC09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C09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Mallick</w:t>
      </w:r>
      <w:r w:rsidR="00FC0969" w:rsidRPr="00FC09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2018)</w:t>
      </w:r>
      <w:r w:rsidRPr="0003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7D75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245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этом в ряде </w:t>
      </w:r>
      <w:r w:rsidRPr="0003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 не только подтверждают</w:t>
      </w:r>
      <w:r w:rsidR="005245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</w:t>
      </w:r>
      <w:r w:rsidRPr="0003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выводы о высоком уровне неоднородности производительности труда, но также </w:t>
      </w:r>
      <w:r w:rsidR="005245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показано</w:t>
      </w:r>
      <w:r w:rsidRPr="0003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увелич</w:t>
      </w:r>
      <w:r w:rsidR="005245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ивающийся</w:t>
      </w:r>
      <w:r w:rsidRPr="0003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последние годы разброс</w:t>
      </w:r>
      <w:r w:rsidR="005245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между предприятиями</w:t>
      </w:r>
      <w:r w:rsidRPr="0003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рамках отдельных отраслей</w:t>
      </w:r>
      <w:r w:rsidR="00FC0969" w:rsidRPr="00FC09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C27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C</w:t>
      </w:r>
      <w:r w:rsidR="00FC09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ette</w:t>
      </w:r>
      <w:r w:rsidR="00C273B7" w:rsidRPr="00C27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27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et</w:t>
      </w:r>
      <w:r w:rsidR="00C273B7" w:rsidRPr="00C27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27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al</w:t>
      </w:r>
      <w:r w:rsidR="00C273B7" w:rsidRPr="00C27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., 2018; </w:t>
      </w:r>
      <w:r w:rsidR="00C27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Decker</w:t>
      </w:r>
      <w:r w:rsidR="00C273B7" w:rsidRPr="00C27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27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et</w:t>
      </w:r>
      <w:r w:rsidR="00C273B7" w:rsidRPr="00C27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27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al</w:t>
      </w:r>
      <w:r w:rsidR="00C273B7" w:rsidRPr="00C27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., 2017</w:t>
      </w:r>
      <w:r w:rsidR="00FC0969" w:rsidRPr="00FC09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03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5D25CB74" w14:textId="655F89BE" w:rsidR="00037C6A" w:rsidRPr="00037C6A" w:rsidRDefault="007D759B" w:rsidP="00037C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037C6A" w:rsidRPr="0003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как и в других странах,</w:t>
      </w:r>
      <w:r w:rsidR="00037C6A" w:rsidRPr="0003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также наблюдается замедление темпов экономического роста.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37C6A" w:rsidRPr="0003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фоне ограниченных возможностей ускорения за счет таких экстенсивных факторов как рост численности занятых в экономике и наращивания объемов капитала, источником положительной динамики могут стать интенсивные факторы, отражающие эффективность использования располагаемых ресурсов.</w:t>
      </w:r>
    </w:p>
    <w:p w14:paraId="0DFB00FB" w14:textId="2C480687" w:rsidR="00037C6A" w:rsidRPr="00037C6A" w:rsidRDefault="00037C6A" w:rsidP="00037C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показателям эффективности можно отнести производительность труда, многофакторную производительность (</w:t>
      </w:r>
      <w:r w:rsidRPr="0003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TFP</w:t>
      </w:r>
      <w:r w:rsidRPr="0003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 техническую эффективность. По оценкам</w:t>
      </w:r>
      <w:r w:rsidR="009601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исследователей</w:t>
      </w:r>
      <w:r w:rsidRPr="0003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период активного роста в начале 2000-х годов основной положительный вклад в динамику выпуска вносила именно многофакторная производительность, а не изменения объемов факторов производства, труда и капитала</w:t>
      </w:r>
      <w:r w:rsidR="00C273B7" w:rsidRPr="00C27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C27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Timmer</w:t>
      </w:r>
      <w:r w:rsidR="00C273B7" w:rsidRPr="00C27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27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and</w:t>
      </w:r>
      <w:r w:rsidR="00C273B7" w:rsidRPr="00C27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27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Voskoboynikov</w:t>
      </w:r>
      <w:r w:rsidR="00C273B7" w:rsidRPr="00C27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2014)</w:t>
      </w:r>
      <w:r w:rsidRPr="0003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71614D82" w14:textId="77777777" w:rsidR="00037C6A" w:rsidRPr="00037C6A" w:rsidRDefault="00037C6A" w:rsidP="00037C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Однако, как и в других странах, увеличение производительности труда в России в последние годы замедлилось. Согласно данным официальной статистики, темпы роста производительности труда на агрегированном уровне с 2009 г. существенно ниже, чем в начале 2000-х годов</w:t>
      </w:r>
      <w:r w:rsidRPr="0003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footnoteReference w:id="1"/>
      </w:r>
      <w:r w:rsidRPr="0003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Более того, в 2015-2016 гг. производительность труда в России снижалась.</w:t>
      </w:r>
    </w:p>
    <w:p w14:paraId="3CE77A80" w14:textId="65E509CD" w:rsidR="00037C6A" w:rsidRPr="00037C6A" w:rsidRDefault="00037C6A" w:rsidP="00037C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этих условиях исследование динамики неоднородности производительности труда в России является вкладом в </w:t>
      </w:r>
      <w:r w:rsidR="008741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литературу</w:t>
      </w:r>
      <w:r w:rsidR="005245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посвященной</w:t>
      </w:r>
      <w:r w:rsidRPr="0003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возможностя</w:t>
      </w:r>
      <w:r w:rsidR="005245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Pr="0003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ускорения экономического роста. В государственных программах в качестве одной из таких мер, которая может способствовать увеличению темпов роста производительности труда, отмечается увеличение вклада малого и среднего предпринимательства в создание добавленной стоимости.</w:t>
      </w:r>
    </w:p>
    <w:p w14:paraId="17534729" w14:textId="75BD9536" w:rsidR="00037C6A" w:rsidRPr="0052450D" w:rsidRDefault="00037C6A" w:rsidP="00037C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3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Однако согласно исследованиям по данным предприятий</w:t>
      </w:r>
      <w:r w:rsidR="00C273B7" w:rsidRPr="00C27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C27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Andrews</w:t>
      </w:r>
      <w:r w:rsidR="00C273B7" w:rsidRPr="00C27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27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et</w:t>
      </w:r>
      <w:r w:rsidR="00C273B7" w:rsidRPr="00C27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27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al</w:t>
      </w:r>
      <w:r w:rsidR="00C273B7" w:rsidRPr="00C27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., 2016)</w:t>
      </w:r>
      <w:r w:rsidRPr="0003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уровень производительности труда выше на более крупных предприятиях. В ряде исследований отмечается, что </w:t>
      </w:r>
      <w:r w:rsidR="0087415E" w:rsidRPr="0003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молоды</w:t>
      </w:r>
      <w:r w:rsidR="008741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87415E" w:rsidRPr="0003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предприяти</w:t>
      </w:r>
      <w:r w:rsidR="008741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характеризуются</w:t>
      </w:r>
      <w:r w:rsidR="0087415E" w:rsidRPr="0003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3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высоки</w:t>
      </w:r>
      <w:r w:rsidR="008741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</w:t>
      </w:r>
      <w:r w:rsidRPr="0003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темп</w:t>
      </w:r>
      <w:r w:rsidR="008741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ами</w:t>
      </w:r>
      <w:r w:rsidRPr="0003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роста</w:t>
      </w:r>
      <w:r w:rsidR="008741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производительности</w:t>
      </w:r>
      <w:r w:rsidR="00232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5245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этом</w:t>
      </w:r>
      <w:r w:rsidR="00232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все малые</w:t>
      </w:r>
      <w:r w:rsidR="005245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являются молодыми, быстрорастущими компаниями</w:t>
      </w:r>
      <w:r w:rsidR="00C273B7" w:rsidRPr="00C273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C273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Haltiwanger</w:t>
      </w:r>
      <w:r w:rsidR="00C273B7" w:rsidRPr="00C273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273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et</w:t>
      </w:r>
      <w:r w:rsidR="00C273B7" w:rsidRPr="00C273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273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al</w:t>
      </w:r>
      <w:r w:rsidR="00C273B7" w:rsidRPr="00C273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., 2013)</w:t>
      </w:r>
      <w:r w:rsidRPr="0003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 этой связи анализ </w:t>
      </w:r>
      <w:r w:rsidR="00232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источников высоких темпов роста производительности </w:t>
      </w:r>
      <w:r w:rsidR="00EA3E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нижних границах распределения уровней производительности является</w:t>
      </w:r>
      <w:r w:rsidRPr="0003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актуальной задачей для оценки </w:t>
      </w:r>
      <w:r w:rsidR="00EA3E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потенциала сокращения расстояния до границы производственных возможностей</w:t>
      </w:r>
      <w:r w:rsidRPr="00037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008BC558" w14:textId="5A465E3B" w:rsidR="008D4B9F" w:rsidRPr="00037C6A" w:rsidRDefault="002309E7" w:rsidP="00037C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Значительные</w:t>
      </w:r>
      <w:r w:rsidR="008D4B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8D4B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распределении уровня производительности труда (или </w:t>
      </w:r>
      <w:r w:rsidR="008D4B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MFP</w:t>
      </w:r>
      <w:r w:rsidR="008D4B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могут наблюдаться в кризисные периоды. С одной стороны, в такие периоды может ускоряться выход с рынка или сокращение выпуска наименее производительных предприятий, что может стимулировать перераспределение ресурсов в пользу более эффективных компаний. С другой стороны, рост неопределенности может </w:t>
      </w:r>
      <w:r w:rsidR="005B0A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препятствовать созданию новых компаний и росту молодых.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B0A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Актуальность также приобретает задача</w:t>
      </w:r>
      <w:r w:rsidR="00C273B7" w:rsidRPr="00C27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C27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Andrews</w:t>
      </w:r>
      <w:r w:rsidR="00C273B7" w:rsidRPr="00C27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27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et</w:t>
      </w:r>
      <w:r w:rsidR="00C273B7" w:rsidRPr="00C27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27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al</w:t>
      </w:r>
      <w:r w:rsidR="00C273B7" w:rsidRPr="00C27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., 2021)</w:t>
      </w:r>
      <w:r w:rsidR="005B0A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оценки влияния программ государственной поддержки занятости на процессы перераспределения ресурсов, поскольку предприятия, которые в обычных условиях выходят с рынка, благодаря финансовой помощи могут продолжать свою деятельность, тем самым увеличивая число низко производительных компаний на рынке.</w:t>
      </w:r>
    </w:p>
    <w:p w14:paraId="579FBCB5" w14:textId="580A6308" w:rsidR="002345E4" w:rsidRPr="002345E4" w:rsidRDefault="002345E4" w:rsidP="00A83B65">
      <w:pPr>
        <w:keepNext/>
        <w:spacing w:before="240"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45E4">
        <w:rPr>
          <w:rFonts w:ascii="Times New Roman" w:hAnsi="Times New Roman" w:cs="Times New Roman"/>
          <w:b/>
          <w:sz w:val="32"/>
          <w:szCs w:val="32"/>
        </w:rPr>
        <w:t>Степень разработанности темы исследования</w:t>
      </w:r>
    </w:p>
    <w:p w14:paraId="26175032" w14:textId="4284D0DD" w:rsidR="002345E4" w:rsidRPr="002345E4" w:rsidRDefault="002345E4" w:rsidP="002345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Анализ динамики неоднородности, другими словами, конвергенции в уровнях выпуска, а также производительности труда, первоначально использовался в межстрановых исследованиях. Результаты исследований на макроуровне были неоднозначными</w:t>
      </w:r>
      <w:r w:rsidR="00C273B7" w:rsidRPr="002636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C273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Abreu</w:t>
      </w:r>
      <w:r w:rsidR="00C273B7" w:rsidRPr="002636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273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et</w:t>
      </w:r>
      <w:r w:rsidR="00C273B7" w:rsidRPr="002636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273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al</w:t>
      </w:r>
      <w:r w:rsidR="00C273B7" w:rsidRPr="002636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., 2005)</w:t>
      </w:r>
      <w:r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С одной стороны, развивающиеся страны наверстывают свое отставание благодаря передаче технологий и повышению капиталовооруженности на фоне более широкой вовлеченности в международную торговлю и глобальные стоимостные </w:t>
      </w:r>
      <w:r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цепочки. С другой стороны, в исследованиях, посвященных росту и процессам конвергенции, подчеркивается роль институциональных проблем, препятствовавших адаптации новых технологий в </w:t>
      </w:r>
      <w:r w:rsidR="00E612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развивающихся</w:t>
      </w:r>
      <w:r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экономиках</w:t>
      </w:r>
      <w:r w:rsidR="00C273B7" w:rsidRPr="00C27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C27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Acemoglu</w:t>
      </w:r>
      <w:r w:rsidR="00C273B7" w:rsidRPr="00C27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27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et</w:t>
      </w:r>
      <w:r w:rsidR="00C273B7" w:rsidRPr="00C27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27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al</w:t>
      </w:r>
      <w:r w:rsidR="00C273B7" w:rsidRPr="00C27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., 2001)</w:t>
      </w:r>
      <w:r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676C67A0" w14:textId="42A895A5" w:rsidR="002345E4" w:rsidRPr="002345E4" w:rsidRDefault="002345E4" w:rsidP="002345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улучшением доступности микроданных вопрос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гетерогенности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связанной с ней </w:t>
      </w:r>
      <w:r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конвергенции стал подниматься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применительно к</w:t>
      </w:r>
      <w:r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ям</w:t>
      </w:r>
      <w:r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рамках отдельных</w:t>
      </w:r>
      <w:r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отраслей. Эмпирические исследования с использованием данных предприятий показывают наличие высокой неоднородности по уровню производительности труда не только между странами, но и в </w:t>
      </w:r>
      <w:r w:rsidR="001A4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рамках</w:t>
      </w:r>
      <w:r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узко определяем</w:t>
      </w:r>
      <w:r w:rsidR="001A4F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ых</w:t>
      </w:r>
      <w:r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отрасл</w:t>
      </w:r>
      <w:r w:rsidR="00263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</w:t>
      </w:r>
      <w:r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отдельной страны</w:t>
      </w:r>
      <w:r w:rsidR="00C273B7" w:rsidRPr="00C27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C27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Syverson</w:t>
      </w:r>
      <w:r w:rsidR="00C273B7" w:rsidRPr="00C273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2011)</w:t>
      </w:r>
      <w:r w:rsidR="00901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44D060AF" w14:textId="24193E78" w:rsidR="002345E4" w:rsidRPr="002345E4" w:rsidRDefault="002345E4" w:rsidP="002345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Исследования на данных предприятий стран-членов ОЭСР</w:t>
      </w:r>
      <w:r w:rsidR="002C4E38" w:rsidRPr="002C4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2C4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Andrews</w:t>
      </w:r>
      <w:r w:rsidR="002C4E38" w:rsidRPr="002C4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C4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et</w:t>
      </w:r>
      <w:r w:rsidR="002C4E38" w:rsidRPr="002C4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C4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al</w:t>
      </w:r>
      <w:r w:rsidR="002C4E38" w:rsidRPr="002C4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., 2016)</w:t>
      </w:r>
      <w:r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показывают не только наличие разрыва между лидерами и остальными, но и увеличение этого разброса. При этом границы производственных возможностей, по крайней мере в секторе услуг, продолжают расширяться. Таким образом, можно предположить, что снижение темпов роста многофакторной производительности</w:t>
      </w:r>
      <w:r w:rsidR="00F211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наблюдаемое после кризиса 2008–2009 на макроуровне,</w:t>
      </w:r>
      <w:r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обусловлено не</w:t>
      </w:r>
      <w:r w:rsidR="00F211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столько</w:t>
      </w:r>
      <w:r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замедлением технического прогресса, </w:t>
      </w:r>
      <w:r w:rsidR="00F211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</w:t>
      </w:r>
      <w:r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растущей неоднородностью компаний в рамках узко определенных отраслей.</w:t>
      </w:r>
    </w:p>
    <w:p w14:paraId="0919E136" w14:textId="3A4F3D72" w:rsidR="002345E4" w:rsidRPr="002345E4" w:rsidRDefault="00F211A7" w:rsidP="002345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Согласно одной из гипотез, </w:t>
      </w:r>
      <w:r w:rsidR="002345E4"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причин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</w:t>
      </w:r>
      <w:r w:rsidR="002345E4"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увеличения неоднородности компаний в рамках отраслей </w:t>
      </w:r>
      <w:r w:rsidR="00901A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является</w:t>
      </w:r>
      <w:r w:rsidR="002345E4"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снижение интенсивности передачи технологий от лидеров по производительности к остальным организациям отрасли</w:t>
      </w:r>
      <w:r w:rsidR="002C4E38" w:rsidRPr="002C4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2C4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Akcigit</w:t>
      </w:r>
      <w:r w:rsidR="002C4E38" w:rsidRPr="002C4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C4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et</w:t>
      </w:r>
      <w:r w:rsidR="002C4E38" w:rsidRPr="002C4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C4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al</w:t>
      </w:r>
      <w:r w:rsidR="002C4E38" w:rsidRPr="002C4E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., 2019)</w:t>
      </w:r>
      <w:r w:rsidR="002345E4"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Отстающим фирмам не хватает доступа к знаниям, из-за чего их темпы роста производительности труда не увеличиваются.</w:t>
      </w:r>
    </w:p>
    <w:p w14:paraId="40E17A9B" w14:textId="63AD64C2" w:rsidR="002345E4" w:rsidRPr="002345E4" w:rsidRDefault="001F7DCF" w:rsidP="002345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ряде работ</w:t>
      </w:r>
      <w:r w:rsidR="00F82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F82626" w:rsidRPr="00F82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Andrews</w:t>
      </w:r>
      <w:r w:rsidR="00F82626" w:rsidRPr="00F82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82626" w:rsidRPr="00F82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et</w:t>
      </w:r>
      <w:r w:rsidR="00F82626" w:rsidRPr="00F82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82626" w:rsidRPr="00F82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al</w:t>
      </w:r>
      <w:r w:rsidR="00F82626" w:rsidRPr="00F82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., 2016</w:t>
      </w:r>
      <w:r w:rsidR="00F82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показано</w:t>
      </w:r>
      <w:r w:rsidR="004C6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</w:t>
      </w:r>
      <w:r w:rsidR="002345E4"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увеличивающийся разрыв в производительности между лидерами и отстающими сопровождается отрицательной связью между ростом производительности и ее начальным </w:t>
      </w:r>
      <w:r w:rsidR="002345E4"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уровнем, </w:t>
      </w:r>
      <w:r w:rsidR="004C6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 литературе это также называется</w:t>
      </w:r>
      <w:r w:rsidR="002345E4"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345E4"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β</w:t>
      </w:r>
      <w:r w:rsidR="002345E4"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-конвергенцией</w:t>
      </w:r>
      <w:r w:rsidR="004C6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2345E4"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4C68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Авторы</w:t>
      </w:r>
      <w:r w:rsidR="002345E4"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83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показывают</w:t>
      </w:r>
      <w:r w:rsidR="002345E4"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 скорость конвергенции ослабла с 1997 г</w:t>
      </w:r>
      <w:r w:rsidR="00263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ода</w:t>
      </w:r>
      <w:r w:rsidR="002345E4"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252969AC" w14:textId="304D87F3" w:rsidR="002345E4" w:rsidRPr="002345E4" w:rsidRDefault="004C684C" w:rsidP="002345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Среди французский компаний </w:t>
      </w:r>
      <w:r w:rsidR="002345E4"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скорость конвергенции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</w:t>
      </w:r>
      <w:r w:rsidR="002345E4"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уменьшилась в основном из-за высоких темпов роста производительности высокотехнологичных компаний</w:t>
      </w:r>
      <w:r w:rsidR="00F82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F82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Chevalier</w:t>
      </w:r>
      <w:r w:rsidR="00F82626" w:rsidRPr="00F82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82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et</w:t>
      </w:r>
      <w:r w:rsidR="00F82626" w:rsidRPr="00F82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82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al</w:t>
      </w:r>
      <w:r w:rsidR="00F82626" w:rsidRPr="00F82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., 2012</w:t>
      </w:r>
      <w:r w:rsidR="00F82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2345E4"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AB3B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Согласно исследованию</w:t>
      </w:r>
      <w:r w:rsidR="00AB3B36" w:rsidRPr="00F82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B3B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Bahar</w:t>
      </w:r>
      <w:r w:rsidR="00AB3B36" w:rsidRPr="00F82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B3B36" w:rsidRPr="00AB3B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AB3B36" w:rsidRPr="00F82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2018),</w:t>
      </w:r>
      <w:r w:rsidR="002345E4"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скорость конвергенции максимальна на высшей и низшей границах начального распределения уровней производительности. В то же время темпы роста производительности компаний со средним уровнем </w:t>
      </w:r>
      <w:r w:rsidR="001F7D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этого показателя </w:t>
      </w:r>
      <w:r w:rsidR="002345E4"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значительно ниже.</w:t>
      </w:r>
    </w:p>
    <w:p w14:paraId="47073F92" w14:textId="511EFF61" w:rsidR="002345E4" w:rsidRPr="002345E4" w:rsidRDefault="002345E4" w:rsidP="002345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Высокие темпы роста производительности наименее производительных компаний могут объясняться возрастной структурой распределения этого показателя. </w:t>
      </w:r>
      <w:r w:rsidR="00702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оценкам исследователей</w:t>
      </w:r>
      <w:r w:rsidR="00F82626" w:rsidRPr="00F82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F82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Haltiwanger</w:t>
      </w:r>
      <w:r w:rsidR="00F82626" w:rsidRPr="00F82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82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et</w:t>
      </w:r>
      <w:r w:rsidR="00F82626" w:rsidRPr="00F82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82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al</w:t>
      </w:r>
      <w:r w:rsidR="00F82626" w:rsidRPr="00F82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., 2013)</w:t>
      </w:r>
      <w:r w:rsidR="00702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молодые предприятия крайне важны для создания рабочих мест, и их вклад в чистый рост экономики США непропорционально велик. Поскольку производительность предприятий, входящих на рынок, как правило, ниже, чем у предприятий, уже укоренившихся на рынке, вклад молодых фирм виден на ни</w:t>
      </w:r>
      <w:r w:rsidR="00A83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жней</w:t>
      </w:r>
      <w:r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границе распределения уровня производительности. Таким образом, импульс роста производительности труда среди наименее производительных компаний связан с тем, что молодые предприятия выходят на полную производственную мощность.</w:t>
      </w:r>
      <w:r w:rsidR="007024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Авторы</w:t>
      </w:r>
      <w:r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подчеркивают, что источником роста являются молодые, а не все малые предприятия.</w:t>
      </w:r>
    </w:p>
    <w:p w14:paraId="7C1EA3DE" w14:textId="6C3AE22D" w:rsidR="002345E4" w:rsidRPr="002345E4" w:rsidRDefault="002345E4" w:rsidP="002345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</w:t>
      </w:r>
      <w:r w:rsidR="00D201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201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вклада</w:t>
      </w:r>
      <w:r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малых предприятий в ускорени</w:t>
      </w:r>
      <w:r w:rsidR="00D201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темпов экономического </w:t>
      </w:r>
      <w:r w:rsidR="00D201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посвящен</w:t>
      </w:r>
      <w:r w:rsidR="001F7D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множество </w:t>
      </w:r>
      <w:r w:rsidR="00D201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</w:t>
      </w:r>
      <w:r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D201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Согласно исследованиям</w:t>
      </w:r>
      <w:r w:rsidR="00F82626" w:rsidRPr="00F82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F82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Bartelsman</w:t>
      </w:r>
      <w:r w:rsidR="00F82626" w:rsidRPr="00F82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82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et</w:t>
      </w:r>
      <w:r w:rsidR="00F82626" w:rsidRPr="00F82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82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al</w:t>
      </w:r>
      <w:r w:rsidR="00F82626" w:rsidRPr="00F82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., 2013; </w:t>
      </w:r>
      <w:r w:rsidR="00CB2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Linarello</w:t>
      </w:r>
      <w:r w:rsidR="00CB2692" w:rsidRPr="00CB2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B2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and</w:t>
      </w:r>
      <w:r w:rsidR="00CB2692" w:rsidRPr="00CB2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B2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Petrella</w:t>
      </w:r>
      <w:r w:rsidR="00CB2692" w:rsidRPr="00CB2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2017</w:t>
      </w:r>
      <w:r w:rsidR="00F82626" w:rsidRPr="00F826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D201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</w:t>
      </w:r>
      <w:r w:rsidRPr="002345E4">
        <w:rPr>
          <w:rFonts w:ascii="Times New Roman" w:eastAsia="Times New Roman" w:hAnsi="Times New Roman" w:cs="Times New Roman"/>
          <w:sz w:val="28"/>
          <w:szCs w:val="28"/>
        </w:rPr>
        <w:t>ровень производительности труда и размер фирмы положительно связаны. Один из механизмов формирования такой связи продемонстрирован</w:t>
      </w:r>
      <w:r w:rsidR="00CB2692" w:rsidRPr="00CB2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36B5">
        <w:rPr>
          <w:rFonts w:ascii="Times New Roman" w:eastAsia="Times New Roman" w:hAnsi="Times New Roman" w:cs="Times New Roman"/>
          <w:sz w:val="28"/>
          <w:szCs w:val="28"/>
        </w:rPr>
        <w:t xml:space="preserve">в работе </w:t>
      </w:r>
      <w:r w:rsidR="00CB2692">
        <w:rPr>
          <w:rFonts w:ascii="Times New Roman" w:eastAsia="Times New Roman" w:hAnsi="Times New Roman" w:cs="Times New Roman"/>
          <w:sz w:val="28"/>
          <w:szCs w:val="28"/>
          <w:lang w:val="en-US"/>
        </w:rPr>
        <w:t>Akcigit</w:t>
      </w:r>
      <w:r w:rsidR="00CB2692" w:rsidRPr="00CB2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692">
        <w:rPr>
          <w:rFonts w:ascii="Times New Roman" w:eastAsia="Times New Roman" w:hAnsi="Times New Roman" w:cs="Times New Roman"/>
          <w:sz w:val="28"/>
          <w:szCs w:val="28"/>
          <w:lang w:val="en-US"/>
        </w:rPr>
        <w:t>et</w:t>
      </w:r>
      <w:r w:rsidR="00CB2692" w:rsidRPr="00CB2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692">
        <w:rPr>
          <w:rFonts w:ascii="Times New Roman" w:eastAsia="Times New Roman" w:hAnsi="Times New Roman" w:cs="Times New Roman"/>
          <w:sz w:val="28"/>
          <w:szCs w:val="28"/>
          <w:lang w:val="en-US"/>
        </w:rPr>
        <w:t>al</w:t>
      </w:r>
      <w:r w:rsidR="00CB2692" w:rsidRPr="00CB2692">
        <w:rPr>
          <w:rFonts w:ascii="Times New Roman" w:eastAsia="Times New Roman" w:hAnsi="Times New Roman" w:cs="Times New Roman"/>
          <w:sz w:val="28"/>
          <w:szCs w:val="28"/>
        </w:rPr>
        <w:t>.</w:t>
      </w:r>
      <w:r w:rsidR="002636B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B2692" w:rsidRPr="00CB269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636EB" w:rsidRPr="00A636EB">
        <w:rPr>
          <w:rFonts w:ascii="Times New Roman" w:eastAsia="Times New Roman" w:hAnsi="Times New Roman" w:cs="Times New Roman"/>
          <w:sz w:val="28"/>
          <w:szCs w:val="28"/>
        </w:rPr>
        <w:t>21</w:t>
      </w:r>
      <w:r w:rsidR="00CB2692" w:rsidRPr="00CB269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2345E4">
        <w:rPr>
          <w:rFonts w:ascii="Times New Roman" w:eastAsia="Times New Roman" w:hAnsi="Times New Roman" w:cs="Times New Roman"/>
          <w:sz w:val="28"/>
          <w:szCs w:val="28"/>
        </w:rPr>
        <w:t>на примере с</w:t>
      </w:r>
      <w:r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равнения жизненного цикла компаний США и Индии. В США эффективные компании имеют возможность расти. Менее эффективные предприятия покидают рынок, а высвобождающиеся ресурсы перераспределяются в пользу остающихся на рынке более производительных фирм.</w:t>
      </w:r>
      <w:r w:rsidR="00A83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Потенциально эффективные компании </w:t>
      </w:r>
      <w:r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Индии сталкиваются с барьерами, препятствующими их росту, они остаются небольшими. В результате в Индии только небольшая группа предприятий имеет возможность реализовать свой потенциал, вырасти и увеличить свою эффективность, тогда как большинство предприятий остаются небольшими и низкоэффективными.</w:t>
      </w:r>
    </w:p>
    <w:p w14:paraId="06AFEB7D" w14:textId="6DBD6DC4" w:rsidR="00AB3B36" w:rsidRPr="00FC5DD0" w:rsidRDefault="00C31E90" w:rsidP="002345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Таким образом, одним из факторов, </w:t>
      </w:r>
      <w:r w:rsidR="00AB3B36" w:rsidRPr="00AB3B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препятствующ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</w:t>
      </w:r>
      <w:r w:rsidR="00AB3B36" w:rsidRPr="00AB3B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эффективному распределению ресурсов между компаниями, </w:t>
      </w:r>
      <w:r w:rsidR="00D47C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может </w:t>
      </w:r>
      <w:r w:rsidR="00AB3B36" w:rsidRPr="00AB3B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явля</w:t>
      </w:r>
      <w:r w:rsidR="00D47C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ся </w:t>
      </w:r>
      <w:r w:rsidR="00FC5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относительно низкая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B3B36" w:rsidRPr="00AB3B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интенсивность выходов низкопроизводительных компаний</w:t>
      </w:r>
      <w:r w:rsidRPr="00C31E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Pr="00C31E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Andrews</w:t>
      </w:r>
      <w:r w:rsidRPr="00C31E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31E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et</w:t>
      </w:r>
      <w:r w:rsidRPr="00C31E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31E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al</w:t>
      </w:r>
      <w:r w:rsidRPr="00C31E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., 2016)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Исследователи подчеркивают </w:t>
      </w:r>
      <w:r w:rsidR="00FC5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роль стимулирования конкуренции и развития системы банкротства для ускорения процессов выходов наименее производительных компаний и, как следствия, улучшения распределения ресурсов между компаниями (</w:t>
      </w:r>
      <w:r w:rsidR="00FC5DD0" w:rsidRPr="00FC5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Gamberoni et al., 2016</w:t>
      </w:r>
      <w:r w:rsidR="00FC5D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14:paraId="3E818811" w14:textId="3FE710B4" w:rsidR="002345E4" w:rsidRDefault="00D47C0F" w:rsidP="002345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Увеличение интенсивности</w:t>
      </w:r>
      <w:r w:rsidR="002345E4"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выходов предприятий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2345E4"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рынка</w:t>
      </w:r>
      <w:r w:rsidR="002345E4"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стимулиру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2345E4"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 </w:t>
      </w:r>
      <w:r w:rsidR="002345E4" w:rsidRPr="00234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перераспределение</w:t>
      </w:r>
      <w:r w:rsidR="002345E4"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ресурсов в пользу наиболее эффективных компаний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только </w:t>
      </w:r>
      <w:r w:rsidR="002345E4"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том случае, если наименее производительные </w:t>
      </w:r>
      <w:r w:rsidR="00263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компании </w:t>
      </w:r>
      <w:r w:rsidR="002345E4"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уходят с рынка, а на их место приходят новые организации с потенциалом к росту. Однако в кризисный период 2008–2009 в США разница между вероятностями выхода предприятий в зависимости от уровня их производительности значительно с</w:t>
      </w:r>
      <w:r w:rsidR="00540C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ократилась</w:t>
      </w:r>
      <w:r w:rsidR="002345E4"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сравнению с предыдущими периодами</w:t>
      </w:r>
      <w:r w:rsidR="00CB2692" w:rsidRPr="00CB2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CB2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Foster</w:t>
      </w:r>
      <w:r w:rsidR="00CB2692" w:rsidRPr="00CB2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B2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et</w:t>
      </w:r>
      <w:r w:rsidR="00CB2692" w:rsidRPr="00CB2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B2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al</w:t>
      </w:r>
      <w:r w:rsidR="00CB2692" w:rsidRPr="00CB2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., 2016)</w:t>
      </w:r>
      <w:r w:rsidR="002345E4"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Кроме того</w:t>
      </w:r>
      <w:r w:rsidR="00540C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2345E4"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США в период с 1979 по 2013 годы ухудшение экономической ситуации быстрее сказывалось на динамике входов предприятий, чем на числе ликвидаций</w:t>
      </w:r>
      <w:r w:rsidR="00CB2692" w:rsidRPr="00CB2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CB2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Tian</w:t>
      </w:r>
      <w:r w:rsidR="00CB2692" w:rsidRPr="00CB2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2018)</w:t>
      </w:r>
      <w:r w:rsidR="002345E4"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Замедление входов</w:t>
      </w:r>
      <w:r w:rsidR="0021151D" w:rsidRPr="002115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2115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«отпугивающий эффект» кризиса</w:t>
      </w:r>
      <w:r w:rsidR="00CB2692" w:rsidRPr="00CB2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CB2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Ouyang</w:t>
      </w:r>
      <w:r w:rsidR="00CB2692" w:rsidRPr="00CB2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2009)</w:t>
      </w:r>
      <w:r w:rsidR="0021151D" w:rsidRPr="002115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2345E4"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наряду с выходами молодых компаний, негативно отражается на экономическом росте в будущем</w:t>
      </w:r>
      <w:r w:rsidR="0021151D" w:rsidRPr="002115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2345E4"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115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связано с тем, что</w:t>
      </w:r>
      <w:r w:rsidR="002345E4"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замедляется перераспределение ресурсов от выходящих предприятий к новым, а также не реализуется потенциал роста молодых организаций.</w:t>
      </w:r>
    </w:p>
    <w:p w14:paraId="6C14C9ED" w14:textId="62DC37DC" w:rsidR="0021151D" w:rsidRPr="002345E4" w:rsidRDefault="006A2A5A" w:rsidP="006A2A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экономической литературе показано, что одной из причин сохранения на рынке малоэффективных компаний может быть </w:t>
      </w:r>
      <w:r w:rsidR="00EE7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облегченный доступ к финансированию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низких ставках по кредитам и слабом экономическом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росте (</w:t>
      </w:r>
      <w:r w:rsidRPr="006A2A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Gopinath et al., 2017; Aghion et al.,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 В этих условиях банкам может быть</w:t>
      </w:r>
      <w:r w:rsidR="00EE7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невыгодно добиваться ликвидации компании, хотя в отсутствие финансовой поддержки предприятие могло бы обанкротиться</w:t>
      </w:r>
      <w:r w:rsidR="00931F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Таким образом возникает</w:t>
      </w:r>
      <w:r w:rsidR="00703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проблема «компаний–зомби»</w:t>
      </w:r>
      <w:r w:rsidR="00CB2692" w:rsidRPr="00CB2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CB2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Caballero</w:t>
      </w:r>
      <w:r w:rsidR="00CB2692" w:rsidRPr="00CB2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B2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et</w:t>
      </w:r>
      <w:r w:rsidR="00CB2692" w:rsidRPr="00CB2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B2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al</w:t>
      </w:r>
      <w:r w:rsidR="00CB2692" w:rsidRPr="00CB2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., 2008)</w:t>
      </w:r>
      <w:r w:rsidR="00EE7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7032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520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Особенную актуальность этот вопрос приобретает в периоды масштабной</w:t>
      </w:r>
      <w:r w:rsidR="0061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государственной</w:t>
      </w:r>
      <w:r w:rsidR="007520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финансовой поддержки в ответ на кризис, вызванный пандемией новой коронавирусной инфекции. Тем не менее данные предприятий Словаки</w:t>
      </w:r>
      <w:r w:rsidR="001F7D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7520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свидетельствуют о том, что поддержка направлена, в первую</w:t>
      </w:r>
      <w:r w:rsidR="0061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7520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очередь на более производительные предприятия, что говорит об </w:t>
      </w:r>
      <w:r w:rsidR="0061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отсутствии искажений в распределении ресурсов между предприятиями</w:t>
      </w:r>
      <w:r w:rsidR="00CB2692" w:rsidRPr="00CB26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CB2692" w:rsidRPr="00CB26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Lalinsky</w:t>
      </w:r>
      <w:r w:rsidR="00CB2692" w:rsidRPr="00CB26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B26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and</w:t>
      </w:r>
      <w:r w:rsidR="00CB2692" w:rsidRPr="00CB26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B2692" w:rsidRPr="00CB26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 w:eastAsia="ru-RU"/>
        </w:rPr>
        <w:t>P</w:t>
      </w:r>
      <w:r w:rsidR="00CB2692" w:rsidRPr="00CB26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á, 2021)</w:t>
      </w:r>
      <w:r w:rsidR="006129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0A4DB6F1" w14:textId="2F55706F" w:rsidR="002345E4" w:rsidRPr="002345E4" w:rsidRDefault="002345E4" w:rsidP="002345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России</w:t>
      </w:r>
      <w:r w:rsidR="00540C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именно перераспределение ресурсов, наряду с созданием институциональной среды, способствующей диффузии технологий от лидеров к остальным предприятиям, необходима</w:t>
      </w:r>
      <w:r w:rsidR="001F7D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согласн</w:t>
      </w:r>
      <w:r w:rsidR="00263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1F7D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исследовани</w:t>
      </w:r>
      <w:r w:rsidR="00263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ю </w:t>
      </w:r>
      <w:r w:rsidR="00263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Voskoboynikov</w:t>
      </w:r>
      <w:r w:rsidR="002636B5" w:rsidRPr="00CB2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63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2636B5" w:rsidRPr="00CB2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2017)</w:t>
      </w:r>
      <w:r w:rsidR="001F7D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сокращения значительного разрыва, который наблюдается между небольшой группой наиболее производительных предприятий и всеми остальными предприятиями</w:t>
      </w:r>
      <w:r w:rsidR="00CB2692" w:rsidRPr="00CB2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CB2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Бессонова</w:t>
      </w:r>
      <w:r w:rsidR="00CB2692" w:rsidRPr="00CB26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2018)</w:t>
      </w:r>
      <w:r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626FE8F5" w14:textId="7CF5C392" w:rsidR="002345E4" w:rsidRPr="002345E4" w:rsidRDefault="002345E4" w:rsidP="002345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Теме неоднородности предприятий в России как одного из ключевых аспектов экономического роста посвящен ряд работ, в которых </w:t>
      </w:r>
      <w:r w:rsidR="00634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применятся </w:t>
      </w:r>
      <w:r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 стохастической границы производственных возможностей (</w:t>
      </w:r>
      <w:r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stochastic</w:t>
      </w:r>
      <w:r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frontier</w:t>
      </w:r>
      <w:r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analysis</w:t>
      </w:r>
      <w:r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E7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SFA</w:t>
      </w:r>
      <w:r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 Этот метод предполагает, что в каждой отрасли можно определить границу производственных возможностей, отражающую максимально возможный выпуск при заданных объемах ресурсов</w:t>
      </w:r>
      <w:r w:rsidR="002F70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2F70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Aigner</w:t>
      </w:r>
      <w:r w:rsidR="002F709B" w:rsidRPr="002F70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F70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et</w:t>
      </w:r>
      <w:r w:rsidR="002F709B" w:rsidRPr="002F70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F70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al</w:t>
      </w:r>
      <w:r w:rsidR="002F709B" w:rsidRPr="002F70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., 1977</w:t>
      </w:r>
      <w:r w:rsidR="002F70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634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ыпуск каждого из предприятий</w:t>
      </w:r>
      <w:r w:rsidR="00634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отрасли</w:t>
      </w:r>
      <w:r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находится на некотором расстоянии до этой границы. Чем больше расстояние до границы производственных возможностей, тем ниже техническая эффективность предприятия. Таким образом, метод </w:t>
      </w:r>
      <w:r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SFA</w:t>
      </w:r>
      <w:r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позволяет одновременно оценить параметры производственной функции и эффективность предприятия относительно производственной границы.</w:t>
      </w:r>
    </w:p>
    <w:p w14:paraId="7A48DBB0" w14:textId="163D5FE1" w:rsidR="002345E4" w:rsidRPr="002345E4" w:rsidRDefault="002345E4" w:rsidP="002345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Используя метод </w:t>
      </w:r>
      <w:r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SFA</w:t>
      </w:r>
      <w:r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634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авторы </w:t>
      </w:r>
      <w:r w:rsidR="001F7D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ряда </w:t>
      </w:r>
      <w:r w:rsidR="006345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</w:t>
      </w:r>
      <w:r w:rsidR="002F709B" w:rsidRPr="002F70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2F70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Ипатова, 2015; Ипатова и Пересецкий, 2013</w:t>
      </w:r>
      <w:r w:rsidR="002F709B" w:rsidRPr="002F70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r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показали, что кризис 2008–2009 годов негативно отразился на технической эффективности предприятий, производящих резиновые и пластмассовые изделия. В данной отрасли следствием кризиса стало увеличение неоднородности предприятий. Оценки технической эффективности демонстрировали высокую стабильность, указывая на сложность и длительность процессов сокращения отставания от лидеров. Снижение технической эффективности </w:t>
      </w:r>
      <w:r w:rsidR="007B15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наблюдалось</w:t>
      </w:r>
      <w:r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 пищевой промышленности в 2003–2010 гг</w:t>
      </w:r>
      <w:r w:rsidR="00F436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2F70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(Щетинин и Назруллаева, 2012)</w:t>
      </w:r>
      <w:r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5820E33A" w14:textId="0BD423FF" w:rsidR="002345E4" w:rsidRPr="002345E4" w:rsidRDefault="002345E4" w:rsidP="002345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и работы, посвященные производительности</w:t>
      </w:r>
      <w:r w:rsidR="007B15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труда</w:t>
      </w:r>
      <w:r w:rsidR="006A4C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российских предприятиях</w:t>
      </w:r>
      <w:r w:rsidR="002F70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2F709B" w:rsidRPr="002F70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Wildnerova</w:t>
      </w:r>
      <w:r w:rsidR="002F70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F70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and</w:t>
      </w:r>
      <w:r w:rsidR="002F709B" w:rsidRPr="002F70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F709B" w:rsidRPr="002F70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Bl</w:t>
      </w:r>
      <w:r w:rsidR="002F709B" w:rsidRPr="002F70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ö</w:t>
      </w:r>
      <w:r w:rsidR="002F709B" w:rsidRPr="002F70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chliger</w:t>
      </w:r>
      <w:r w:rsidR="002F709B" w:rsidRPr="002F70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2019</w:t>
      </w:r>
      <w:r w:rsidR="002F70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исследования с использованием метода </w:t>
      </w:r>
      <w:r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SFA</w:t>
      </w:r>
      <w:r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подтверждают положительную связь размера с технической эффективностью предприятия</w:t>
      </w:r>
      <w:r w:rsidR="002F709B" w:rsidRPr="002F70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2F70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Краснопеева и др., 2016</w:t>
      </w:r>
      <w:r w:rsidR="002F709B" w:rsidRPr="002F70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234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562B9C84" w14:textId="77777777" w:rsidR="00423287" w:rsidRPr="00423287" w:rsidRDefault="00423287" w:rsidP="002345E4">
      <w:pPr>
        <w:keepNext/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3287">
        <w:rPr>
          <w:rFonts w:ascii="Times New Roman" w:hAnsi="Times New Roman" w:cs="Times New Roman"/>
          <w:b/>
          <w:sz w:val="32"/>
          <w:szCs w:val="32"/>
        </w:rPr>
        <w:t>Цель и задачи исследования</w:t>
      </w:r>
    </w:p>
    <w:p w14:paraId="62205C8D" w14:textId="75738C69" w:rsidR="00423287" w:rsidRPr="00423287" w:rsidRDefault="00423287" w:rsidP="004232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32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Целью исследования является оценка динамики неоднородности производительности труда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или </w:t>
      </w:r>
      <w:r w:rsidRPr="004232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многофакторной производительности) и технической эффективности в России за период с 2011 по 2018 </w:t>
      </w:r>
      <w:r w:rsidR="007125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годы</w:t>
      </w:r>
      <w:r w:rsidRPr="004232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Задачи в рамках поставленной цели включают в себя:</w:t>
      </w:r>
    </w:p>
    <w:p w14:paraId="0E8B7CF2" w14:textId="4AE274C9" w:rsidR="00423287" w:rsidRDefault="00423287" w:rsidP="00423287">
      <w:pPr>
        <w:pStyle w:val="a3"/>
        <w:widowControl/>
        <w:numPr>
          <w:ilvl w:val="0"/>
          <w:numId w:val="8"/>
        </w:numPr>
        <w:autoSpaceDE/>
        <w:autoSpaceDN/>
        <w:adjustRightInd/>
        <w:spacing w:line="360" w:lineRule="auto"/>
        <w:ind w:left="709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467698">
        <w:rPr>
          <w:color w:val="000000"/>
          <w:sz w:val="28"/>
          <w:szCs w:val="28"/>
          <w:shd w:val="clear" w:color="auto" w:fill="FFFFFF"/>
          <w:lang w:val="ru-RU" w:eastAsia="ru-RU"/>
        </w:rPr>
        <w:t>на данных российских предприятий оценить наличие связи между уровнем производительности труда (</w:t>
      </w:r>
      <w:r w:rsidR="00712599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или </w:t>
      </w:r>
      <w:r w:rsidRPr="00467698">
        <w:rPr>
          <w:color w:val="000000"/>
          <w:sz w:val="28"/>
          <w:szCs w:val="28"/>
          <w:shd w:val="clear" w:color="auto" w:fill="FFFFFF"/>
          <w:lang w:val="ru-RU" w:eastAsia="ru-RU"/>
        </w:rPr>
        <w:t>многофакторной производительности) и темпами роста</w:t>
      </w:r>
      <w:r w:rsidR="00712599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соответствующих</w:t>
      </w:r>
      <w:r w:rsidRPr="00467698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показател</w:t>
      </w:r>
      <w:r w:rsidR="00712599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ей, другими словами, оценить скорость </w:t>
      </w:r>
      <w:r w:rsidR="00712599">
        <w:rPr>
          <w:color w:val="000000"/>
          <w:sz w:val="28"/>
          <w:szCs w:val="28"/>
          <w:shd w:val="clear" w:color="auto" w:fill="FFFFFF"/>
          <w:lang w:eastAsia="ru-RU"/>
        </w:rPr>
        <w:t>β</w:t>
      </w:r>
      <w:r w:rsidR="00712599">
        <w:rPr>
          <w:color w:val="000000"/>
          <w:sz w:val="28"/>
          <w:szCs w:val="28"/>
          <w:shd w:val="clear" w:color="auto" w:fill="FFFFFF"/>
          <w:lang w:val="ru-RU" w:eastAsia="ru-RU"/>
        </w:rPr>
        <w:t>-конвергенции</w:t>
      </w:r>
      <w:r w:rsidRPr="00467698">
        <w:rPr>
          <w:color w:val="000000"/>
          <w:sz w:val="28"/>
          <w:szCs w:val="28"/>
          <w:shd w:val="clear" w:color="auto" w:fill="FFFFFF"/>
          <w:lang w:val="ru-RU" w:eastAsia="ru-RU"/>
        </w:rPr>
        <w:t>;</w:t>
      </w:r>
    </w:p>
    <w:p w14:paraId="6CA73210" w14:textId="6DBE600B" w:rsidR="00712599" w:rsidRDefault="00712599" w:rsidP="00423287">
      <w:pPr>
        <w:pStyle w:val="a3"/>
        <w:widowControl/>
        <w:numPr>
          <w:ilvl w:val="0"/>
          <w:numId w:val="8"/>
        </w:numPr>
        <w:autoSpaceDE/>
        <w:autoSpaceDN/>
        <w:adjustRightInd/>
        <w:spacing w:line="360" w:lineRule="auto"/>
        <w:ind w:left="709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выявить источник быстрого роста производительности труда (или многофакторной производительности) на нижних границах распределения соответствующих показателей;</w:t>
      </w:r>
    </w:p>
    <w:p w14:paraId="3B777F9B" w14:textId="54CB8B22" w:rsidR="00102B34" w:rsidRDefault="00AE3820" w:rsidP="00423287">
      <w:pPr>
        <w:pStyle w:val="a3"/>
        <w:widowControl/>
        <w:numPr>
          <w:ilvl w:val="0"/>
          <w:numId w:val="8"/>
        </w:numPr>
        <w:autoSpaceDE/>
        <w:autoSpaceDN/>
        <w:adjustRightInd/>
        <w:spacing w:line="360" w:lineRule="auto"/>
        <w:ind w:left="709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определить характер наблюдаемого импульса быстрого роста производительности труда, </w:t>
      </w:r>
      <w:r w:rsidR="006260A5">
        <w:rPr>
          <w:color w:val="000000"/>
          <w:sz w:val="28"/>
          <w:szCs w:val="28"/>
          <w:shd w:val="clear" w:color="auto" w:fill="FFFFFF"/>
          <w:lang w:val="ru-RU" w:eastAsia="ru-RU"/>
        </w:rPr>
        <w:t>момент и причину замедления его темпов;</w:t>
      </w:r>
    </w:p>
    <w:p w14:paraId="1844FCB9" w14:textId="7D984EE2" w:rsidR="00423287" w:rsidRDefault="007741F5" w:rsidP="00423287">
      <w:pPr>
        <w:pStyle w:val="a3"/>
        <w:widowControl/>
        <w:numPr>
          <w:ilvl w:val="0"/>
          <w:numId w:val="8"/>
        </w:numPr>
        <w:autoSpaceDE/>
        <w:autoSpaceDN/>
        <w:adjustRightInd/>
        <w:spacing w:line="360" w:lineRule="auto"/>
        <w:ind w:left="709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в рамках узко определенных отраслей </w:t>
      </w:r>
      <w:r w:rsidR="00423287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оценить динамику </w:t>
      </w:r>
      <w:r w:rsidR="00712599">
        <w:rPr>
          <w:color w:val="000000"/>
          <w:sz w:val="28"/>
          <w:szCs w:val="28"/>
          <w:shd w:val="clear" w:color="auto" w:fill="FFFFFF"/>
          <w:lang w:val="ru-RU" w:eastAsia="ru-RU"/>
        </w:rPr>
        <w:t>многофакторной производительности предприятий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>, работающих</w:t>
      </w:r>
      <w:r w:rsidR="00712599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на </w:t>
      </w:r>
      <w:r w:rsidR="00712599">
        <w:rPr>
          <w:color w:val="000000"/>
          <w:sz w:val="28"/>
          <w:szCs w:val="28"/>
          <w:shd w:val="clear" w:color="auto" w:fill="FFFFFF"/>
          <w:lang w:val="ru-RU" w:eastAsia="ru-RU"/>
        </w:rPr>
        <w:lastRenderedPageBreak/>
        <w:t xml:space="preserve">границе производственных возможностей, а также оценить 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>динамику разрыва производительности между границей и остальными предприятиями</w:t>
      </w:r>
      <w:r w:rsidR="00423287">
        <w:rPr>
          <w:color w:val="000000"/>
          <w:sz w:val="28"/>
          <w:szCs w:val="28"/>
          <w:shd w:val="clear" w:color="auto" w:fill="FFFFFF"/>
          <w:lang w:val="ru-RU" w:eastAsia="ru-RU"/>
        </w:rPr>
        <w:t>;</w:t>
      </w:r>
    </w:p>
    <w:p w14:paraId="29A01083" w14:textId="5B3708B1" w:rsidR="00423287" w:rsidRDefault="007741F5" w:rsidP="00423287">
      <w:pPr>
        <w:pStyle w:val="a3"/>
        <w:widowControl/>
        <w:numPr>
          <w:ilvl w:val="0"/>
          <w:numId w:val="8"/>
        </w:numPr>
        <w:autoSpaceDE/>
        <w:autoSpaceDN/>
        <w:adjustRightInd/>
        <w:spacing w:line="360" w:lineRule="auto"/>
        <w:ind w:left="709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оценить характер</w:t>
      </w:r>
      <w:r w:rsidR="00423287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изменения разброса уровня технической эффективности предприятий во времени 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>учитывая связь дисперсии технической эффективности и размера, а также возраста предприятий</w:t>
      </w:r>
      <w:r w:rsidR="00423287">
        <w:rPr>
          <w:color w:val="000000"/>
          <w:sz w:val="28"/>
          <w:szCs w:val="28"/>
          <w:shd w:val="clear" w:color="auto" w:fill="FFFFFF"/>
          <w:lang w:val="ru-RU" w:eastAsia="ru-RU"/>
        </w:rPr>
        <w:t>;</w:t>
      </w:r>
    </w:p>
    <w:p w14:paraId="23A48B9F" w14:textId="518184E4" w:rsidR="00BD083D" w:rsidRDefault="00BD083D" w:rsidP="00423287">
      <w:pPr>
        <w:pStyle w:val="a3"/>
        <w:widowControl/>
        <w:numPr>
          <w:ilvl w:val="0"/>
          <w:numId w:val="8"/>
        </w:numPr>
        <w:autoSpaceDE/>
        <w:autoSpaceDN/>
        <w:adjustRightInd/>
        <w:spacing w:line="360" w:lineRule="auto"/>
        <w:ind w:left="709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в условиях кризиса, вызванного пандемией новой коронавирусной инфекции, определить связь между интенсивностью выходов предприятий с рынка и уровнем производительности, то есть определить наличие</w:t>
      </w:r>
      <w:r w:rsidR="00AD292A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CC57FD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предпосылок для </w:t>
      </w:r>
      <w:r w:rsidR="00AD292A">
        <w:rPr>
          <w:color w:val="000000"/>
          <w:sz w:val="28"/>
          <w:szCs w:val="28"/>
          <w:shd w:val="clear" w:color="auto" w:fill="FFFFFF"/>
          <w:lang w:val="ru-RU" w:eastAsia="ru-RU"/>
        </w:rPr>
        <w:t>потенциального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«очищающего эффекта</w:t>
      </w:r>
      <w:r w:rsidR="00CC57FD">
        <w:rPr>
          <w:color w:val="000000"/>
          <w:sz w:val="28"/>
          <w:szCs w:val="28"/>
          <w:shd w:val="clear" w:color="auto" w:fill="FFFFFF"/>
          <w:lang w:val="ru-RU" w:eastAsia="ru-RU"/>
        </w:rPr>
        <w:t>»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кризиса</w:t>
      </w:r>
      <w:r w:rsidR="00AD292A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r w:rsidR="00CC57FD">
        <w:rPr>
          <w:color w:val="000000"/>
          <w:sz w:val="28"/>
          <w:szCs w:val="28"/>
          <w:shd w:val="clear" w:color="auto" w:fill="FFFFFF"/>
          <w:lang w:val="ru-RU" w:eastAsia="ru-RU"/>
        </w:rPr>
        <w:t>а также оценить изменение интенсивности входов на рынок как индикатора наличия «отпугивающего эффекта» кризиса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>;</w:t>
      </w:r>
    </w:p>
    <w:p w14:paraId="10108A83" w14:textId="7B355CA4" w:rsidR="00423287" w:rsidRPr="002658CE" w:rsidRDefault="002658CE" w:rsidP="00423287">
      <w:pPr>
        <w:pStyle w:val="a3"/>
        <w:widowControl/>
        <w:numPr>
          <w:ilvl w:val="0"/>
          <w:numId w:val="8"/>
        </w:numPr>
        <w:autoSpaceDE/>
        <w:autoSpaceDN/>
        <w:adjustRightInd/>
        <w:spacing w:line="360" w:lineRule="auto"/>
        <w:ind w:left="709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2658CE">
        <w:rPr>
          <w:color w:val="000000"/>
          <w:sz w:val="28"/>
          <w:szCs w:val="28"/>
          <w:shd w:val="clear" w:color="auto" w:fill="FFFFFF"/>
          <w:lang w:val="ru-RU" w:eastAsia="ru-RU"/>
        </w:rPr>
        <w:t>выявить характер влияния введения программ льготного кредитования как мер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>ы</w:t>
      </w:r>
      <w:r w:rsidRPr="002658CE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поддержки в условиях кризиса, вызванного пандемией новой коронавирусной инфекции, на доступ к финансированию предприятий в зависимости от их уровня производительности труда</w:t>
      </w:r>
      <w:r w:rsidR="00423287" w:rsidRPr="002658CE">
        <w:rPr>
          <w:color w:val="000000"/>
          <w:sz w:val="28"/>
          <w:szCs w:val="28"/>
          <w:shd w:val="clear" w:color="auto" w:fill="FFFFFF"/>
          <w:lang w:val="ru-RU" w:eastAsia="ru-RU"/>
        </w:rPr>
        <w:t>.</w:t>
      </w:r>
    </w:p>
    <w:p w14:paraId="5B58C0F5" w14:textId="47A5E9A5" w:rsidR="001F5CD2" w:rsidRDefault="001F5CD2" w:rsidP="002345E4">
      <w:pPr>
        <w:keepNext/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Методология исследования</w:t>
      </w:r>
    </w:p>
    <w:p w14:paraId="2B383522" w14:textId="72A6C241" w:rsidR="001F5CD2" w:rsidRPr="001F5CD2" w:rsidRDefault="001F5CD2" w:rsidP="001F5C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исследовании использованы данные российских предприятий из базы данных </w:t>
      </w:r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Ruslana</w:t>
      </w:r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Bureau</w:t>
      </w:r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van</w:t>
      </w:r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Dijk</w:t>
      </w:r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 исследовании использовались две выборки предприятий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первая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2011 по 2016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вторая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2013 по 2018 годы. В условиях низкого качества данных небольших предприятий выборки ограничивалась организациями с численностью сотрудников от 10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выборка</w:t>
      </w:r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или от 50 человек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выборка</w:t>
      </w:r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14:paraId="265B28ED" w14:textId="4377E178" w:rsidR="001F5CD2" w:rsidRPr="001F5CD2" w:rsidRDefault="001F5CD2" w:rsidP="001F5C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исследовании используются данные о выручке, внеоборотных активах, прочих оборотных средствах, занятости, себестоимости, затратах на труд, а также о дате регистрации.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Также были </w:t>
      </w:r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рассчитаны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добавленная стоимость (как сумма затрат на труд и выручки за вычетом себестоимости) и производительность труда (как отношение добавленной стоимости или выручки к численности сотрудников).</w:t>
      </w:r>
    </w:p>
    <w:p w14:paraId="6B1B4053" w14:textId="3C842C5F" w:rsidR="001F5CD2" w:rsidRPr="001F5CD2" w:rsidRDefault="001F5CD2" w:rsidP="001F5C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Стоимостные показатели, за исключением внеоборотных активов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были продефлированы с помощью дефлятор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</w:t>
      </w:r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валовой добавленной стоимости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индекс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цен производителей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промышленных видах деятельности</w:t>
      </w:r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Внеоборотные активы продефлированы с помощью рассчитанного индекса цен основных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построен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ного</w:t>
      </w:r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отношение индекса стоимости основных средств к индексу физического объема.</w:t>
      </w:r>
    </w:p>
    <w:p w14:paraId="0F7F97C8" w14:textId="70D3F598" w:rsidR="001F5CD2" w:rsidRPr="001F5CD2" w:rsidRDefault="001F5CD2" w:rsidP="001F5C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построения </w:t>
      </w:r>
      <w:r w:rsidR="00E71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дефляторов во второй выборке (</w:t>
      </w:r>
      <w:r w:rsidR="00E71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II</w:t>
      </w:r>
      <w:r w:rsidR="00E71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использован</w:t>
      </w:r>
      <w:r w:rsidR="00E71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два источника</w:t>
      </w:r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информаци</w:t>
      </w:r>
      <w:r w:rsidR="00E71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соответствии отраслевых классификаторов ОКВЭД2</w:t>
      </w:r>
      <w:r w:rsidR="00E71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(используется с 2017 года)</w:t>
      </w:r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ОКВЭД1</w:t>
      </w:r>
      <w:r w:rsidR="00E71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(использовался до 2017 года)</w:t>
      </w:r>
      <w:r w:rsidR="00BA3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открытые данные Росстата</w:t>
      </w:r>
      <w:r w:rsidR="00BA3701"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footnoteReference w:id="2"/>
      </w:r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A3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переходные ключи, разработанные Министерством экономического развития РФ</w:t>
      </w:r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footnoteReference w:id="3"/>
      </w:r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2CEE8F3A" w14:textId="34B0B44C" w:rsidR="001F5CD2" w:rsidRPr="001F5CD2" w:rsidRDefault="001F5CD2" w:rsidP="001F5C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анализа были исключены предприятия из некоторых сфер деятельности: сельского хозяйства, строительства, финансового сектора, образования, здравоохранения и государственного управления.</w:t>
      </w:r>
    </w:p>
    <w:p w14:paraId="56F9670E" w14:textId="1175E3AF" w:rsidR="001F5CD2" w:rsidRPr="001F5CD2" w:rsidRDefault="001F5CD2" w:rsidP="001F5C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Предприятия были разделены на отрасли согласно их основному коду ОКВЭД. </w:t>
      </w:r>
      <w:r w:rsidR="00E71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71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первой выборке </w:t>
      </w:r>
      <w:r w:rsidR="00E71A65" w:rsidRPr="00E71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E71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="00E71A65" w:rsidRPr="00E71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71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</w:t>
      </w:r>
      <w:r w:rsidR="00676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="00E71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деятельности</w:t>
      </w:r>
      <w:r w:rsidR="00676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были выделены</w:t>
      </w:r>
      <w:r w:rsidR="00E71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основном на 3-4х значном уровне ОКВЭД1, во второй выборке (</w:t>
      </w:r>
      <w:r w:rsidR="00E71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II</w:t>
      </w:r>
      <w:r w:rsidR="00E71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r w:rsidR="00676A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="00E71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основном,</w:t>
      </w:r>
      <w:r w:rsidR="00E71A65" w:rsidRPr="00E71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71A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2-3х значном уровне ОКВЭД2</w:t>
      </w:r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38F36CC3" w14:textId="77777777" w:rsidR="001F5CD2" w:rsidRPr="001F5CD2" w:rsidRDefault="001F5CD2" w:rsidP="001F5C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анализа были исключены виды деятельности с недостаточным числом наблюдений. В рамках выделенных отраслей выбросы определены как 0,5% наблюдений с максимальными и 0,5% с минимальными значениями основных финансовых показателей и численности сотрудников. Наблюдения с максимальными 0,5% значениями производительности труда также отнесены к выбросам.</w:t>
      </w:r>
    </w:p>
    <w:p w14:paraId="6DA04529" w14:textId="7F5040D8" w:rsidR="001F5CD2" w:rsidRPr="001F5CD2" w:rsidRDefault="00285980" w:rsidP="002631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Показатели производительности труда рассчитывались как отношение добавленной стоимости или выручки к численности сотрудников. </w:t>
      </w:r>
      <w:r w:rsidR="007D33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исследовании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также </w:t>
      </w:r>
      <w:r w:rsidR="007D33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использовалс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7D33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="007D33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многофакторной производительности (</w:t>
      </w:r>
      <w:r w:rsidR="007D33CC" w:rsidRPr="007D33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TFP</w:t>
      </w:r>
      <w:r w:rsidR="007D33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 w:rsidR="007D33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total</w:t>
      </w:r>
      <w:r w:rsidR="007D33CC" w:rsidRPr="007D33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D33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factor</w:t>
      </w:r>
      <w:r w:rsidR="007D33CC" w:rsidRPr="007D33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D33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productivity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). Он </w:t>
      </w:r>
      <w:r w:rsidR="002631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рассчитывался </w:t>
      </w:r>
      <w:r w:rsidR="001F5CD2"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shd w:val="clear" w:color="auto" w:fill="FFFFFF"/>
            <w:lang w:val="en-US" w:eastAsia="ru-RU"/>
          </w:rPr>
          <m:t>TFP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shd w:val="clear" w:color="auto" w:fill="FFFFFF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m:t>VA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 w:eastAsia="ru-RU"/>
                  </w:rPr>
                  <m:t>K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 w:eastAsia="ru-RU"/>
                  </w:rPr>
                  <m:t>β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 w:eastAsia="ru-RU"/>
                  </w:rPr>
                  <m:t>L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val="en-US" w:eastAsia="ru-RU"/>
                  </w:rPr>
                  <m:t>α</m:t>
                </m:r>
              </m:sup>
            </m:sSup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shd w:val="clear" w:color="auto" w:fill="FFFFFF"/>
            <w:lang w:eastAsia="ru-RU"/>
          </w:rPr>
          <m:t>,</m:t>
        </m:r>
      </m:oMath>
      <w:r w:rsidR="001F5CD2"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где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shd w:val="clear" w:color="auto" w:fill="FFFFFF"/>
            <w:lang w:val="en-US" w:eastAsia="ru-RU"/>
          </w:rPr>
          <m:t>VA</m:t>
        </m:r>
      </m:oMath>
      <w:r w:rsidR="001F5CD2"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добавленная стоимость,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shd w:val="clear" w:color="auto" w:fill="FFFFFF"/>
            <w:lang w:val="en-US" w:eastAsia="ru-RU"/>
          </w:rPr>
          <m:t>L</m:t>
        </m:r>
      </m:oMath>
      <w:r w:rsidR="001F5CD2"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численность сотрудников, а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shd w:val="clear" w:color="auto" w:fill="FFFFFF"/>
            <w:lang w:val="en-US" w:eastAsia="ru-RU"/>
          </w:rPr>
          <m:t>K</m:t>
        </m:r>
      </m:oMath>
      <w:r w:rsidR="001F5CD2"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объем внеоборотного капитала. Коэффициенты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shd w:val="clear" w:color="auto" w:fill="FFFFFF"/>
            <w:lang w:val="en-US" w:eastAsia="ru-RU"/>
          </w:rPr>
          <m:t>α</m:t>
        </m:r>
      </m:oMath>
      <w:r w:rsidR="001F5CD2"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shd w:val="clear" w:color="auto" w:fill="FFFFFF"/>
            <w:lang w:val="en-US" w:eastAsia="ru-RU"/>
          </w:rPr>
          <m:t>β</m:t>
        </m:r>
      </m:oMath>
      <w:r w:rsidR="001F5CD2"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были получены в результате оценки производственной функции с помощью метода, предложенного </w:t>
      </w:r>
      <w:r w:rsidR="001F5CD2"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Wooldridge</w:t>
      </w:r>
      <w:r w:rsidR="001F5CD2"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(2009) </w:t>
      </w:r>
      <w:r w:rsidR="00961C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1F5CD2"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F5CD2"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Petrin</w:t>
      </w:r>
      <w:r w:rsidR="001F5CD2"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F5CD2"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and</w:t>
      </w:r>
      <w:r w:rsidR="001F5CD2"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F5CD2"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Levinson</w:t>
      </w:r>
      <w:r w:rsidR="001F5CD2"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(2012).</w:t>
      </w:r>
    </w:p>
    <w:p w14:paraId="20039788" w14:textId="1FE4C8CC" w:rsidR="000F486A" w:rsidRDefault="00676AA6" w:rsidP="00215D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каждом виде деятельности определялось расстояние предприятия до границы производственных возможностей, которая рассчитывалась как медианное значение производительности труда (либо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TFP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среди 5% наиболее производительных предприятий. В каждом виде деятельности предприятия были разделены на децили в соответствии с расстоянием до границы производственных возможностей, а также на три более крупные группы</w:t>
      </w:r>
      <w:r w:rsidR="002F70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2F70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Aghion</w:t>
      </w:r>
      <w:r w:rsidR="002F709B" w:rsidRPr="002F70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F70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et</w:t>
      </w:r>
      <w:r w:rsidR="002F709B" w:rsidRPr="002F70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F70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al</w:t>
      </w:r>
      <w:r w:rsidR="002F709B" w:rsidRPr="002F70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., 2009</w:t>
      </w:r>
      <w:r w:rsidR="002F70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лидеры, догоняющие и отстающие. </w:t>
      </w:r>
      <w:r w:rsidR="00215DC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F486A" w:rsidRPr="000F486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идеры по производительности</w:t>
      </w:r>
      <w:r w:rsidR="0021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F486A" w:rsidRPr="000F486A">
        <w:rPr>
          <w:rFonts w:ascii="Times New Roman" w:eastAsia="Times New Roman" w:hAnsi="Times New Roman" w:cs="Times New Roman"/>
          <w:sz w:val="28"/>
          <w:szCs w:val="28"/>
          <w:lang w:eastAsia="ru-RU"/>
        </w:rPr>
        <w:t>20% наиболее производительных предприятий в каждо</w:t>
      </w:r>
      <w:r w:rsidR="00215DC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F486A" w:rsidRPr="000F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D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деятельности</w:t>
      </w:r>
      <w:r w:rsidR="000F486A" w:rsidRPr="000F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15DC4" w:rsidRPr="00215DC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F486A" w:rsidRPr="000F486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огоняющие – это предприятия,</w:t>
      </w:r>
      <w:r w:rsidR="0021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86A" w:rsidRPr="000F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производительность которых ниже лидеров, но выше медианы. </w:t>
      </w:r>
      <w:r w:rsidR="00215D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F486A" w:rsidRPr="000F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тстающие </w:t>
      </w:r>
      <w:r w:rsidR="00215DC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F486A" w:rsidRPr="000F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215DC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F486A" w:rsidRPr="000F486A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чей уровень производительности ниже медианного.</w:t>
      </w:r>
    </w:p>
    <w:p w14:paraId="2463128F" w14:textId="6AC6F553" w:rsidR="00676AA6" w:rsidRDefault="00215DC4" w:rsidP="001F5C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Распределение предприятий по децилям производительности труда (или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TFP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внутри отдельных видов деятельности позволяет сравнивать предприятия из различных отраслей между собой, учитывая </w:t>
      </w:r>
      <w:r w:rsidR="00B90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особенности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различия в процессах производства.</w:t>
      </w:r>
      <w:r w:rsidR="00102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анализа корреляции между уровнем регионального развития и уровнем производительности труда предприятий, был рассчитан средний дециль среди всех фирм, работающих в регионе, вне зависимости от вида деятельности.</w:t>
      </w:r>
    </w:p>
    <w:p w14:paraId="388A2B4F" w14:textId="266BA129" w:rsidR="001F5CD2" w:rsidRPr="001F5CD2" w:rsidRDefault="001F5CD2" w:rsidP="001F5C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работами, посвященным</w:t>
      </w:r>
      <w:r w:rsidR="00442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42169" w:rsidRPr="00442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β-конвергенции</w:t>
      </w:r>
      <w:r w:rsidR="004421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других странах</w:t>
      </w:r>
      <w:r w:rsidR="00897F1A" w:rsidRPr="00897F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97F1A" w:rsidRPr="002F70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897F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Andrews</w:t>
      </w:r>
      <w:r w:rsidR="00897F1A" w:rsidRPr="002F70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97F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et</w:t>
      </w:r>
      <w:r w:rsidR="00897F1A" w:rsidRPr="002F70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97F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al</w:t>
      </w:r>
      <w:r w:rsidR="00897F1A" w:rsidRPr="002F70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., 2016; </w:t>
      </w:r>
      <w:r w:rsidR="00897F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Cette</w:t>
      </w:r>
      <w:r w:rsidR="00897F1A" w:rsidRPr="002F70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97F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et</w:t>
      </w:r>
      <w:r w:rsidR="00897F1A" w:rsidRPr="002F70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97F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al</w:t>
      </w:r>
      <w:r w:rsidR="00897F1A" w:rsidRPr="002F70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., 2018)</w:t>
      </w:r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исследовании были сделаны оце</w:t>
      </w:r>
      <w:r w:rsidR="00BF6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нки её скорости</w:t>
      </w:r>
      <w:r w:rsidR="00CD5E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Базовая спецификация имеет вид</w:t>
      </w:r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27AC4174" w14:textId="77777777" w:rsidR="001F5CD2" w:rsidRPr="00413141" w:rsidRDefault="001F5CD2" w:rsidP="001F5CD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w:lastRenderedPageBreak/>
            <m:t>∆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lp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it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β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0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β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1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gap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it-1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β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3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ln⁡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(age)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it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p=2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3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G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sub>
              </m:sSub>
            </m:e>
          </m:nary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j=2013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2016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j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j</m:t>
                  </m:r>
                </m:sub>
              </m:sSub>
            </m:e>
          </m:nary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k=2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8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k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k</m:t>
                  </m:r>
                </m:sub>
              </m:sSub>
            </m:e>
          </m:nary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ε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it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,</m:t>
          </m:r>
        </m:oMath>
      </m:oMathPara>
    </w:p>
    <w:p w14:paraId="1657CB1F" w14:textId="26CD4683" w:rsidR="001F5CD2" w:rsidRPr="001F5CD2" w:rsidRDefault="001F5CD2" w:rsidP="00CA34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где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shd w:val="clear" w:color="auto" w:fill="FFFFFF"/>
            <w:lang w:eastAsia="ru-RU"/>
          </w:rPr>
          <m:t>∆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m:t>lp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m:t>it</m:t>
            </m:r>
          </m:sub>
        </m:sSub>
      </m:oMath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темпы роста производительности труда</w:t>
      </w:r>
      <w:r w:rsidR="00CA3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A34D3" w:rsidRPr="00CA3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(или </w:t>
      </w:r>
      <w:r w:rsidR="00CA34D3" w:rsidRPr="00CA3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TFP</w:t>
      </w:r>
      <w:r w:rsidR="00CA34D3" w:rsidRPr="00CA3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m:t>gap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m:t>it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-1</m:t>
            </m:r>
          </m:sub>
        </m:sSub>
      </m:oMath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расстояние до границы производственных возможностей в предыдущем периоде,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m:t>ln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⁡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(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m:t>age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)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m:t>it</m:t>
            </m:r>
          </m:sub>
        </m:sSub>
      </m:oMath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логарифм возраста предприятия,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m:t>G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m:t>p</m:t>
            </m:r>
          </m:sub>
        </m:sSub>
      </m:oMath>
      <w:r w:rsidR="00BF6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m:t>j</m:t>
            </m:r>
          </m:sub>
        </m:sSub>
      </m:oMath>
      <w:r w:rsidR="00CA34D3"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m:t>k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shd w:val="clear" w:color="auto" w:fill="FFFFFF"/>
            <w:lang w:eastAsia="ru-RU"/>
          </w:rPr>
          <m:t xml:space="preserve"> </m:t>
        </m:r>
      </m:oMath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набор фиктивных переменных, отвечающих за размер предприятия</w:t>
      </w:r>
      <w:r w:rsidR="00CA3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 и сектор соответственно. </w:t>
      </w:r>
      <w:r w:rsidR="00CA3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 были оценены</w:t>
      </w:r>
      <w:r w:rsidR="00CD5E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несколько альтернативных</w:t>
      </w:r>
      <w:r w:rsidR="00CA3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спецификаци</w:t>
      </w:r>
      <w:r w:rsidR="00CD5E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r w:rsidR="00CA3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включением совместных эффектов возраста, </w:t>
      </w:r>
      <w:r w:rsidR="002B22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роста производительности труда (или </w:t>
      </w:r>
      <w:r w:rsidR="002B22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TFP</w:t>
      </w:r>
      <w:r w:rsidR="002B22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на границе производственных возможностей.</w:t>
      </w:r>
    </w:p>
    <w:p w14:paraId="41181EC8" w14:textId="253A4CBE" w:rsidR="001F5CD2" w:rsidRPr="001F5CD2" w:rsidRDefault="001F5CD2" w:rsidP="001F5C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оценки динамики неоднородности</w:t>
      </w:r>
      <w:r w:rsidR="00BF6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предприятий с точки зрения </w:t>
      </w:r>
      <w:r w:rsidR="00B522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технической </w:t>
      </w:r>
      <w:r w:rsidR="00BF6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эффективности</w:t>
      </w:r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применялся метод стохастической границы производственных возможностей. В рамках этого метода были использованы </w:t>
      </w:r>
      <w:r w:rsidR="00BF6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две основные спецификации</w:t>
      </w:r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BF6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рамках п</w:t>
      </w:r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ерв</w:t>
      </w:r>
      <w:r w:rsidR="00BF6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</w:t>
      </w:r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F6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спецификации</w:t>
      </w:r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предпола</w:t>
      </w:r>
      <w:r w:rsidR="00BF6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</w:t>
      </w:r>
      <w:r w:rsidR="00B522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лась</w:t>
      </w:r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оценк</w:t>
      </w:r>
      <w:r w:rsidR="00BF6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транслогарифмической спецификации границы производственных возможностей:</w:t>
      </w:r>
    </w:p>
    <w:p w14:paraId="5561B32D" w14:textId="77777777" w:rsidR="001F5CD2" w:rsidRPr="00413141" w:rsidRDefault="00336670" w:rsidP="001F5C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  <m:t>y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  <m:t>it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shd w:val="clear" w:color="auto" w:fill="FFFFFF"/>
              <w:lang w:val="en-US"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  <m:t>β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  <m:t>0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shd w:val="clear" w:color="auto" w:fill="FFFFFF"/>
              <w:lang w:val="en-US" w:eastAsia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  <m:t>β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  <m:t>1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  <m:t>l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  <m:t>it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shd w:val="clear" w:color="auto" w:fill="FFFFFF"/>
              <w:lang w:val="en-US" w:eastAsia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  <m:t>β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  <m:t>2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  <m:t>k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  <m:t>it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shd w:val="clear" w:color="auto" w:fill="FFFFFF"/>
              <w:lang w:val="en-US" w:eastAsia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  <m:t>β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  <m:t>3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shd w:val="clear" w:color="auto" w:fill="FFFFFF"/>
              <w:lang w:val="en-US" w:eastAsia="ru-RU"/>
            </w:rPr>
            <m:t>t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val="en-US" w:eastAsia="ru-RU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val="en-US" w:eastAsia="ru-RU"/>
                    </w:rPr>
                    <m:t>4</m:t>
                  </m:r>
                </m:sub>
              </m:sSub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  <w:lang w:val="en-US" w:eastAsia="ru-RU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val="en-US" w:eastAsia="ru-RU"/>
                    </w:rPr>
                    <m:t>l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val="en-US" w:eastAsia="ru-RU"/>
                    </w:rPr>
                    <m:t>it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val="en-US" w:eastAsia="ru-RU"/>
                    </w:rPr>
                    <m:t>2</m:t>
                  </m:r>
                </m:sup>
              </m:sSub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val="en-US" w:eastAsia="ru-RU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val="en-US" w:eastAsia="ru-RU"/>
                    </w:rPr>
                    <m:t>5</m:t>
                  </m:r>
                </m:sub>
              </m:sSub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  <w:lang w:val="en-US" w:eastAsia="ru-RU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val="en-US" w:eastAsia="ru-RU"/>
                    </w:rPr>
                    <m:t>it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val="en-US" w:eastAsia="ru-RU"/>
                    </w:rPr>
                    <m:t>2</m:t>
                  </m:r>
                </m:sup>
              </m:sSub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val="en-US" w:eastAsia="ru-RU"/>
                    </w:rPr>
                    <m:t>β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val="en-US" w:eastAsia="ru-RU"/>
                    </w:rPr>
                    <m:t>6</m:t>
                  </m:r>
                </m:sub>
              </m:sSub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shd w:val="clear" w:color="auto" w:fill="FFFFFF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val="en-US" w:eastAsia="ru-RU"/>
                    </w:rPr>
                    <m:t>t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val="en-US"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  <m:t>+β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  <m:t>7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  <m:t>l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  <m:t>it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  <m:t>k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  <m:t>it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shd w:val="clear" w:color="auto" w:fill="FFFFFF"/>
              <w:lang w:val="en-US" w:eastAsia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  <m:t>β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  <m:t>8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  <m:t>l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  <m:t>it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shd w:val="clear" w:color="auto" w:fill="FFFFFF"/>
              <w:lang w:val="en-US" w:eastAsia="ru-RU"/>
            </w:rPr>
            <m:t>t+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  <m:t>β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  <m:t>9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  <m:t>k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  <m:t>it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shd w:val="clear" w:color="auto" w:fill="FFFFFF"/>
              <w:lang w:val="en-US" w:eastAsia="ru-RU"/>
            </w:rPr>
            <m:t>t+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  <m:t>it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shd w:val="clear" w:color="auto" w:fill="FFFFFF"/>
              <w:lang w:val="en-US" w:eastAsia="ru-RU"/>
            </w:rPr>
            <m:t>-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  <m:t>u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val="en-US" w:eastAsia="ru-RU"/>
                </w:rPr>
                <m:t>it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shd w:val="clear" w:color="auto" w:fill="FFFFFF"/>
              <w:lang w:val="en-US" w:eastAsia="ru-RU"/>
            </w:rPr>
            <m:t>,</m:t>
          </m:r>
        </m:oMath>
      </m:oMathPara>
    </w:p>
    <w:p w14:paraId="20239AFE" w14:textId="43C6B9A3" w:rsidR="001F5CD2" w:rsidRPr="001F5CD2" w:rsidRDefault="001F5CD2" w:rsidP="00BF64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</w:t>
      </w:r>
      <w:r w:rsidR="00BF6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it</m:t>
            </m:r>
          </m:sub>
        </m:sSub>
      </m:oMath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логарифм добавленной стоимости; </w:t>
      </w: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it</m:t>
            </m:r>
          </m:sub>
        </m:sSub>
      </m:oMath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логарифм численности сотрудников; </w:t>
      </w: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it</m:t>
            </m:r>
          </m:sub>
        </m:sSub>
      </m:oMath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логарифм внеоборотных средств; </w:t>
      </w: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it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shd w:val="clear" w:color="auto" w:fill="FFFFFF"/>
            <w:lang w:eastAsia="ru-RU"/>
          </w:rPr>
          <m:t>~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shd w:val="clear" w:color="auto" w:fill="FFFFFF"/>
            <w:lang w:eastAsia="ru-RU"/>
          </w:rPr>
          <m:t>N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shd w:val="clear" w:color="auto" w:fill="FFFFFF"/>
            <w:lang w:eastAsia="ru-RU"/>
          </w:rPr>
          <m:t xml:space="preserve">(0, </m:t>
        </m:r>
        <m:sSubSup>
          <m:sSubSup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σ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v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2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shd w:val="clear" w:color="auto" w:fill="FFFFFF"/>
            <w:lang w:eastAsia="ru-RU"/>
          </w:rPr>
          <m:t>)</m:t>
        </m:r>
      </m:oMath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стохастический шум; </w:t>
      </w: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it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shd w:val="clear" w:color="auto" w:fill="FFFFFF"/>
            <w:lang w:eastAsia="ru-RU"/>
          </w:rPr>
          <m:t>~</m:t>
        </m:r>
        <m:sSup>
          <m:sSup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N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+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shd w:val="clear" w:color="auto" w:fill="FFFFFF"/>
            <w:lang w:eastAsia="ru-RU"/>
          </w:rPr>
          <m:t xml:space="preserve">(0, </m:t>
        </m:r>
        <m:sSubSup>
          <m:sSubSup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σ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u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2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shd w:val="clear" w:color="auto" w:fill="FFFFFF"/>
            <w:lang w:eastAsia="ru-RU"/>
          </w:rPr>
          <m:t>)</m:t>
        </m:r>
      </m:oMath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ошибка неэффективности.</w:t>
      </w:r>
      <w:r w:rsidR="00FC41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C41CE" w:rsidRPr="00FC41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Индекс технической эффективности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shd w:val="clear" w:color="auto" w:fill="FFFFFF"/>
            <w:lang w:eastAsia="ru-RU"/>
          </w:rPr>
          <m:t>TE</m:t>
        </m:r>
      </m:oMath>
      <w:r w:rsidR="00FC41CE" w:rsidRPr="00FC41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рассчитывается по формуле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shd w:val="clear" w:color="auto" w:fill="FFFFFF"/>
            <w:lang w:eastAsia="ru-RU"/>
          </w:rPr>
          <m:t>E{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m:t>u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m:t>it</m:t>
                </m:r>
              </m:sub>
            </m:sSub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shd w:val="clear" w:color="auto" w:fill="FFFFFF"/>
            <w:lang w:eastAsia="ru-RU"/>
          </w:rPr>
          <m:t>|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it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shd w:val="clear" w:color="auto" w:fill="FFFFFF"/>
            <w:lang w:eastAsia="ru-RU"/>
          </w:rPr>
          <m:t>}</m:t>
        </m:r>
      </m:oMath>
      <w:r w:rsidR="00FC41CE" w:rsidRPr="00FC41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принимает значения от 0 до 1, где 1 соответствует максимальной технической эффективности (граница производственных возможностей), а 0 соответствует минимальной технической эффективности (предприятие максимально удалено от границы производственных возможностей).</w:t>
      </w:r>
    </w:p>
    <w:p w14:paraId="10FDCD5B" w14:textId="77777777" w:rsidR="001F5CD2" w:rsidRPr="001F5CD2" w:rsidRDefault="001F5CD2" w:rsidP="001F5C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Спецификация ошибки неэффективности имеет жесткую структуру </w:t>
      </w: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it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shd w:val="clear" w:color="auto" w:fill="FFFFFF"/>
            <w:lang w:eastAsia="ru-RU"/>
          </w:rPr>
          <m:t>=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shd w:val="clear" w:color="auto" w:fill="FFFFFF"/>
            <w:lang w:eastAsia="ru-RU"/>
          </w:rPr>
          <m:t>G</m:t>
        </m:r>
        <m:d>
          <m:d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t</m:t>
            </m:r>
          </m:e>
        </m:d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i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shd w:val="clear" w:color="auto" w:fill="FFFFFF"/>
            <w:lang w:eastAsia="ru-RU"/>
          </w:rPr>
          <m:t>,</m:t>
        </m:r>
      </m:oMath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где функция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shd w:val="clear" w:color="auto" w:fill="FFFFFF"/>
            <w:lang w:eastAsia="ru-RU"/>
          </w:rPr>
          <m:t>G</m:t>
        </m:r>
        <m:d>
          <m:d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t</m:t>
            </m:r>
          </m:e>
        </m:d>
      </m:oMath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едина для всех предприятий в отрасли: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shd w:val="clear" w:color="auto" w:fill="FFFFFF"/>
            <w:lang w:eastAsia="ru-RU"/>
          </w:rPr>
          <m:t>G</m:t>
        </m:r>
        <m:d>
          <m:d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t</m:t>
            </m:r>
          </m:e>
        </m: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shd w:val="clear" w:color="auto" w:fill="FFFFFF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γ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(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-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)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shd w:val="clear" w:color="auto" w:fill="FFFFFF"/>
            <w:lang w:eastAsia="ru-RU"/>
          </w:rPr>
          <m:t>.</m:t>
        </m:r>
      </m:oMath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Таким образом, такая спецификация технической эффективности предполагает её монотонное изменение в течение выборочного периода.</w:t>
      </w:r>
    </w:p>
    <w:p w14:paraId="73BBCFAE" w14:textId="27D6CE24" w:rsidR="001F5CD2" w:rsidRPr="001F5CD2" w:rsidRDefault="00BF64C5" w:rsidP="001F5C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Вторая</w:t>
      </w:r>
      <w:r w:rsidR="001F5CD2"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спецификация границы производственных возможностей имеет вид Кобба-Дугласа:</w:t>
      </w:r>
    </w:p>
    <w:p w14:paraId="071B4C30" w14:textId="77777777" w:rsidR="001F5CD2" w:rsidRPr="00413141" w:rsidRDefault="00336670" w:rsidP="001F5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y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it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β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0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β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l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it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β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k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it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β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3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othAs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it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it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-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u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it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,</m:t>
          </m:r>
        </m:oMath>
      </m:oMathPara>
    </w:p>
    <w:p w14:paraId="3D467839" w14:textId="408849F5" w:rsidR="001F5CD2" w:rsidRPr="001F5CD2" w:rsidRDefault="001F5CD2" w:rsidP="00BF64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it</m:t>
            </m:r>
          </m:sub>
        </m:sSub>
      </m:oMath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F64C5" w:rsidRPr="00BF6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логарифм выручки; </w:t>
      </w: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it</m:t>
            </m:r>
          </m:sub>
        </m:sSub>
      </m:oMath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логарифм затрат на труд; </w:t>
      </w: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it</m:t>
            </m:r>
          </m:sub>
        </m:sSub>
      </m:oMath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логарифм внеоборотных средств; </w:t>
      </w: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othAs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it</m:t>
            </m:r>
          </m:sub>
        </m:sSub>
      </m:oMath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логарифм прочих оборотных активов; </w:t>
      </w: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it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shd w:val="clear" w:color="auto" w:fill="FFFFFF"/>
            <w:lang w:eastAsia="ru-RU"/>
          </w:rPr>
          <m:t>~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shd w:val="clear" w:color="auto" w:fill="FFFFFF"/>
            <w:lang w:eastAsia="ru-RU"/>
          </w:rPr>
          <m:t>N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shd w:val="clear" w:color="auto" w:fill="FFFFFF"/>
            <w:lang w:eastAsia="ru-RU"/>
          </w:rPr>
          <m:t xml:space="preserve">(0, </m:t>
        </m:r>
        <m:sSubSup>
          <m:sSubSup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σ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v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2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shd w:val="clear" w:color="auto" w:fill="FFFFFF"/>
            <w:lang w:eastAsia="ru-RU"/>
          </w:rPr>
          <m:t>)</m:t>
        </m:r>
      </m:oMath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стохастический шум; </w:t>
      </w:r>
      <m:oMath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it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shd w:val="clear" w:color="auto" w:fill="FFFFFF"/>
            <w:lang w:eastAsia="ru-RU"/>
          </w:rPr>
          <m:t>~</m:t>
        </m:r>
        <m:sSup>
          <m:sSup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N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+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shd w:val="clear" w:color="auto" w:fill="FFFFFF"/>
            <w:lang w:eastAsia="ru-RU"/>
          </w:rPr>
          <m:t xml:space="preserve">(0, </m:t>
        </m:r>
        <m:sSubSup>
          <m:sSubSup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σ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u,</m:t>
            </m:r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val="en-US" w:eastAsia="ru-RU"/>
              </w:rPr>
              <m:t>it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2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shd w:val="clear" w:color="auto" w:fill="FFFFFF"/>
            <w:lang w:eastAsia="ru-RU"/>
          </w:rPr>
          <m:t>)</m:t>
        </m:r>
      </m:oMath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ошибка неэффективности.</w:t>
      </w:r>
    </w:p>
    <w:p w14:paraId="06255E29" w14:textId="68B04272" w:rsidR="00BF64C5" w:rsidRDefault="001F5CD2" w:rsidP="00BF64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Спецификация ошибки неэффективности имеет более сложный вид, чем при первом подходе, и предполагает её связь с размером и возрастом предприятия, а также изменение</w:t>
      </w:r>
      <w:r w:rsidR="000236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технической эффективности</w:t>
      </w:r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 времени.</w:t>
      </w:r>
      <w:r w:rsidR="00BF64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Базовая спецификация имеет вид:</w:t>
      </w:r>
    </w:p>
    <w:p w14:paraId="22459A76" w14:textId="634374B6" w:rsidR="00BF64C5" w:rsidRPr="00413141" w:rsidRDefault="00336670" w:rsidP="00BF64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m:oMathPara>
        <m:oMath>
          <m:func>
            <m:func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m:t>σ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eastAsia="ru-RU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eastAsia="ru-RU"/>
                            </w:rPr>
                            <m:t>it</m:t>
                          </m:r>
                        </m:sub>
                      </m:sSub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  <m:t>2</m:t>
                      </m:r>
                    </m:sup>
                  </m:sSubSup>
                </m:e>
              </m:d>
            </m:e>
          </m:func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shd w:val="clear" w:color="auto" w:fill="FFFFFF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m:t>δ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m:t>0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shd w:val="clear" w:color="auto" w:fill="FFFFFF"/>
              <w:lang w:eastAsia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m:t>δ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m:t>1</m:t>
              </m:r>
            </m:sub>
          </m:sSub>
          <m:func>
            <m:func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eastAsia="ru-RU"/>
                            </w:rPr>
                            <m:t>emp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eastAsia="ru-RU"/>
                            </w:rPr>
                            <m:t>i</m:t>
                          </m:r>
                        </m:sub>
                      </m:sSub>
                    </m:e>
                  </m:acc>
                </m:e>
              </m:d>
            </m:e>
          </m:func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shd w:val="clear" w:color="auto" w:fill="FFFFFF"/>
              <w:lang w:eastAsia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m:t>δ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m:t>1</m:t>
              </m:r>
            </m:sub>
          </m:sSub>
          <m:func>
            <m:func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shd w:val="clear" w:color="auto" w:fill="FFFFFF"/>
                      <w:lang w:eastAsia="ru-RU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shd w:val="clear" w:color="auto" w:fill="FFFFFF"/>
                          <w:lang w:eastAsia="ru-RU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eastAsia="ru-RU"/>
                            </w:rPr>
                            <m:t>age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8"/>
                              <w:szCs w:val="28"/>
                              <w:shd w:val="clear" w:color="auto" w:fill="FFFFFF"/>
                              <w:lang w:eastAsia="ru-RU"/>
                            </w:rPr>
                            <m:t>i</m:t>
                          </m:r>
                        </m:sub>
                      </m:sSub>
                    </m:e>
                  </m:acc>
                </m:e>
              </m:d>
            </m:e>
          </m:func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shd w:val="clear" w:color="auto" w:fill="FFFFFF"/>
              <w:lang w:eastAsia="ru-RU"/>
            </w:rPr>
            <m:t>+</m:t>
          </m:r>
          <m:sSub>
            <m:sSubPr>
              <m:ctrl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m:t>γ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m:t>0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shd w:val="clear" w:color="auto" w:fill="FFFFFF"/>
              <w:lang w:eastAsia="ru-RU"/>
            </w:rPr>
            <m:t>after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8"/>
              <w:szCs w:val="28"/>
              <w:shd w:val="clear" w:color="auto" w:fill="FFFFFF"/>
              <w:lang w:eastAsia="ru-RU"/>
            </w:rPr>
            <m:t>14,</m:t>
          </m:r>
        </m:oMath>
      </m:oMathPara>
    </w:p>
    <w:p w14:paraId="48014E80" w14:textId="7A51C6DC" w:rsidR="001F5CD2" w:rsidRDefault="001F5CD2" w:rsidP="00BF64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где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m:t>emp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m:t>i</m:t>
                </m:r>
              </m:sub>
            </m:sSub>
          </m:e>
        </m:acc>
      </m:oMath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средняя численность сотрудников на предприятии в выборке;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m:t>age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m:t>i</m:t>
                </m:r>
              </m:sub>
            </m:sSub>
          </m:e>
        </m:acc>
      </m:oMath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средний возраст предприятия в выборке;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shd w:val="clear" w:color="auto" w:fill="FFFFFF"/>
            <w:lang w:eastAsia="ru-RU"/>
          </w:rPr>
          <m:t>after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shd w:val="clear" w:color="auto" w:fill="FFFFFF"/>
            <w:lang w:eastAsia="ru-RU"/>
          </w:rPr>
          <m:t>14</m:t>
        </m:r>
      </m:oMath>
      <w:r w:rsidRPr="001F5C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фиктивная переменная, принимающая значения 1 после 2014 года, и 0 в 2013 и 2014 годах.</w:t>
      </w:r>
    </w:p>
    <w:p w14:paraId="2E46E454" w14:textId="2B950167" w:rsidR="00A348B1" w:rsidRDefault="00A348B1" w:rsidP="00DE7ECB">
      <w:pPr>
        <w:spacing w:before="24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348B1">
        <w:rPr>
          <w:rFonts w:ascii="Times New Roman" w:hAnsi="Times New Roman" w:cs="Times New Roman"/>
          <w:b/>
          <w:sz w:val="32"/>
          <w:szCs w:val="32"/>
        </w:rPr>
        <w:t>Основные результаты</w:t>
      </w:r>
    </w:p>
    <w:p w14:paraId="6630FE47" w14:textId="349F8371" w:rsidR="009140D7" w:rsidRPr="009140D7" w:rsidRDefault="0028389A" w:rsidP="009140D7">
      <w:pPr>
        <w:pStyle w:val="a3"/>
        <w:numPr>
          <w:ilvl w:val="0"/>
          <w:numId w:val="4"/>
        </w:numPr>
        <w:spacing w:line="360" w:lineRule="auto"/>
        <w:ind w:left="426"/>
        <w:jc w:val="both"/>
        <w:rPr>
          <w:b/>
          <w:sz w:val="32"/>
          <w:szCs w:val="32"/>
          <w:lang w:val="ru-RU"/>
        </w:rPr>
      </w:pPr>
      <w:r w:rsidRPr="001C15AE">
        <w:rPr>
          <w:color w:val="000000"/>
          <w:sz w:val="28"/>
          <w:szCs w:val="28"/>
          <w:shd w:val="clear" w:color="auto" w:fill="FFFFFF"/>
          <w:lang w:val="ru-RU" w:eastAsia="ru-RU"/>
        </w:rPr>
        <w:t>На основе проведенного регрессионного анализа</w:t>
      </w:r>
      <w:r w:rsidR="003D29E5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в работе </w:t>
      </w:r>
      <w:r w:rsidR="003D29E5">
        <w:rPr>
          <w:color w:val="000000"/>
          <w:sz w:val="28"/>
          <w:szCs w:val="28"/>
          <w:shd w:val="clear" w:color="auto" w:fill="FFFFFF"/>
          <w:lang w:eastAsia="ru-RU"/>
        </w:rPr>
        <w:t>Bessonova</w:t>
      </w:r>
      <w:r w:rsidR="003D29E5" w:rsidRPr="003D29E5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3D29E5">
        <w:rPr>
          <w:color w:val="000000"/>
          <w:sz w:val="28"/>
          <w:szCs w:val="28"/>
          <w:shd w:val="clear" w:color="auto" w:fill="FFFFFF"/>
          <w:lang w:eastAsia="ru-RU"/>
        </w:rPr>
        <w:t>and</w:t>
      </w:r>
      <w:r w:rsidR="003D29E5" w:rsidRPr="003D29E5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3D29E5">
        <w:rPr>
          <w:color w:val="000000"/>
          <w:sz w:val="28"/>
          <w:szCs w:val="28"/>
          <w:shd w:val="clear" w:color="auto" w:fill="FFFFFF"/>
          <w:lang w:eastAsia="ru-RU"/>
        </w:rPr>
        <w:t>Tsvetkova</w:t>
      </w:r>
      <w:r w:rsidR="003D29E5" w:rsidRPr="003D29E5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(2021)</w:t>
      </w:r>
      <w:r w:rsidRPr="001C15AE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была оценена скорость </w:t>
      </w:r>
      <w:r w:rsidRPr="009140D7">
        <w:rPr>
          <w:color w:val="000000"/>
          <w:sz w:val="28"/>
          <w:szCs w:val="28"/>
          <w:shd w:val="clear" w:color="auto" w:fill="FFFFFF"/>
          <w:lang w:eastAsia="ru-RU"/>
        </w:rPr>
        <w:t>β</w:t>
      </w:r>
      <w:r w:rsidRPr="001C15AE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-конвергенции. Как и в других </w:t>
      </w:r>
      <w:r w:rsidR="003D29E5">
        <w:rPr>
          <w:color w:val="000000"/>
          <w:sz w:val="28"/>
          <w:szCs w:val="28"/>
          <w:shd w:val="clear" w:color="auto" w:fill="FFFFFF"/>
          <w:lang w:val="ru-RU" w:eastAsia="ru-RU"/>
        </w:rPr>
        <w:t>исследованиях</w:t>
      </w:r>
      <w:r w:rsidRPr="001C15AE">
        <w:rPr>
          <w:color w:val="000000"/>
          <w:sz w:val="28"/>
          <w:szCs w:val="28"/>
          <w:shd w:val="clear" w:color="auto" w:fill="FFFFFF"/>
          <w:lang w:val="ru-RU" w:eastAsia="ru-RU"/>
        </w:rPr>
        <w:t>, посвященных этому вопросу</w:t>
      </w:r>
      <w:r w:rsidR="002F709B" w:rsidRPr="002F709B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(</w:t>
      </w:r>
      <w:r w:rsidR="00556553">
        <w:rPr>
          <w:color w:val="000000"/>
          <w:sz w:val="28"/>
          <w:szCs w:val="28"/>
          <w:shd w:val="clear" w:color="auto" w:fill="FFFFFF"/>
          <w:lang w:eastAsia="ru-RU"/>
        </w:rPr>
        <w:t>Andrews</w:t>
      </w:r>
      <w:r w:rsidR="00556553" w:rsidRPr="00556553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556553">
        <w:rPr>
          <w:color w:val="000000"/>
          <w:sz w:val="28"/>
          <w:szCs w:val="28"/>
          <w:shd w:val="clear" w:color="auto" w:fill="FFFFFF"/>
          <w:lang w:eastAsia="ru-RU"/>
        </w:rPr>
        <w:t>et</w:t>
      </w:r>
      <w:r w:rsidR="00556553" w:rsidRPr="00556553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556553">
        <w:rPr>
          <w:color w:val="000000"/>
          <w:sz w:val="28"/>
          <w:szCs w:val="28"/>
          <w:shd w:val="clear" w:color="auto" w:fill="FFFFFF"/>
          <w:lang w:eastAsia="ru-RU"/>
        </w:rPr>
        <w:t>al</w:t>
      </w:r>
      <w:r w:rsidR="00556553" w:rsidRPr="00556553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., 2016; </w:t>
      </w:r>
      <w:r w:rsidR="00556553">
        <w:rPr>
          <w:color w:val="000000"/>
          <w:sz w:val="28"/>
          <w:szCs w:val="28"/>
          <w:shd w:val="clear" w:color="auto" w:fill="FFFFFF"/>
          <w:lang w:eastAsia="ru-RU"/>
        </w:rPr>
        <w:t>Cette</w:t>
      </w:r>
      <w:r w:rsidR="00556553" w:rsidRPr="00556553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556553">
        <w:rPr>
          <w:color w:val="000000"/>
          <w:sz w:val="28"/>
          <w:szCs w:val="28"/>
          <w:shd w:val="clear" w:color="auto" w:fill="FFFFFF"/>
          <w:lang w:eastAsia="ru-RU"/>
        </w:rPr>
        <w:t>et</w:t>
      </w:r>
      <w:r w:rsidR="00556553" w:rsidRPr="00556553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556553">
        <w:rPr>
          <w:color w:val="000000"/>
          <w:sz w:val="28"/>
          <w:szCs w:val="28"/>
          <w:shd w:val="clear" w:color="auto" w:fill="FFFFFF"/>
          <w:lang w:eastAsia="ru-RU"/>
        </w:rPr>
        <w:t>al</w:t>
      </w:r>
      <w:r w:rsidR="00556553" w:rsidRPr="00556553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., 2018; </w:t>
      </w:r>
      <w:r w:rsidR="00556553">
        <w:rPr>
          <w:color w:val="000000"/>
          <w:sz w:val="28"/>
          <w:szCs w:val="28"/>
          <w:shd w:val="clear" w:color="auto" w:fill="FFFFFF"/>
          <w:lang w:eastAsia="ru-RU"/>
        </w:rPr>
        <w:t>Chevalier</w:t>
      </w:r>
      <w:r w:rsidR="00556553" w:rsidRPr="00556553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556553">
        <w:rPr>
          <w:color w:val="000000"/>
          <w:sz w:val="28"/>
          <w:szCs w:val="28"/>
          <w:shd w:val="clear" w:color="auto" w:fill="FFFFFF"/>
          <w:lang w:eastAsia="ru-RU"/>
        </w:rPr>
        <w:t>et</w:t>
      </w:r>
      <w:r w:rsidR="00556553" w:rsidRPr="00556553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556553">
        <w:rPr>
          <w:color w:val="000000"/>
          <w:sz w:val="28"/>
          <w:szCs w:val="28"/>
          <w:shd w:val="clear" w:color="auto" w:fill="FFFFFF"/>
          <w:lang w:eastAsia="ru-RU"/>
        </w:rPr>
        <w:t>al</w:t>
      </w:r>
      <w:r w:rsidR="00556553" w:rsidRPr="00556553">
        <w:rPr>
          <w:color w:val="000000"/>
          <w:sz w:val="28"/>
          <w:szCs w:val="28"/>
          <w:shd w:val="clear" w:color="auto" w:fill="FFFFFF"/>
          <w:lang w:val="ru-RU" w:eastAsia="ru-RU"/>
        </w:rPr>
        <w:t>., 2012</w:t>
      </w:r>
      <w:r w:rsidR="002F709B" w:rsidRPr="002F709B">
        <w:rPr>
          <w:color w:val="000000"/>
          <w:sz w:val="28"/>
          <w:szCs w:val="28"/>
          <w:shd w:val="clear" w:color="auto" w:fill="FFFFFF"/>
          <w:lang w:val="ru-RU" w:eastAsia="ru-RU"/>
        </w:rPr>
        <w:t>)</w:t>
      </w:r>
      <w:r w:rsidRPr="001C15AE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, было выявлено, что предприятия, оперирующие дальше от границы производственных возможностей, демонстрируют более высокие темпы роста производительности труда (или </w:t>
      </w:r>
      <w:r w:rsidRPr="009140D7">
        <w:rPr>
          <w:color w:val="000000"/>
          <w:sz w:val="28"/>
          <w:szCs w:val="28"/>
          <w:shd w:val="clear" w:color="auto" w:fill="FFFFFF"/>
          <w:lang w:eastAsia="ru-RU"/>
        </w:rPr>
        <w:t>TFP</w:t>
      </w:r>
      <w:r w:rsidRPr="001C15AE">
        <w:rPr>
          <w:color w:val="000000"/>
          <w:sz w:val="28"/>
          <w:szCs w:val="28"/>
          <w:shd w:val="clear" w:color="auto" w:fill="FFFFFF"/>
          <w:lang w:val="ru-RU" w:eastAsia="ru-RU"/>
        </w:rPr>
        <w:t>).</w:t>
      </w:r>
      <w:r w:rsidR="00DE7ECB" w:rsidRPr="001C15AE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Оценки скорости </w:t>
      </w:r>
      <w:r w:rsidR="00DE7ECB" w:rsidRPr="009140D7">
        <w:rPr>
          <w:color w:val="000000"/>
          <w:sz w:val="28"/>
          <w:szCs w:val="28"/>
          <w:shd w:val="clear" w:color="auto" w:fill="FFFFFF"/>
          <w:lang w:eastAsia="ru-RU"/>
        </w:rPr>
        <w:t>β</w:t>
      </w:r>
      <w:r w:rsidR="00DE7ECB" w:rsidRPr="001C15AE">
        <w:rPr>
          <w:color w:val="000000"/>
          <w:sz w:val="28"/>
          <w:szCs w:val="28"/>
          <w:shd w:val="clear" w:color="auto" w:fill="FFFFFF"/>
          <w:lang w:val="ru-RU" w:eastAsia="ru-RU"/>
        </w:rPr>
        <w:t>-конвергенции российских предприятий первой (</w:t>
      </w:r>
      <w:r w:rsidR="00DE7ECB" w:rsidRPr="009140D7">
        <w:rPr>
          <w:color w:val="000000"/>
          <w:sz w:val="28"/>
          <w:szCs w:val="28"/>
          <w:shd w:val="clear" w:color="auto" w:fill="FFFFFF"/>
          <w:lang w:eastAsia="ru-RU"/>
        </w:rPr>
        <w:t>I</w:t>
      </w:r>
      <w:r w:rsidR="00DE7ECB" w:rsidRPr="001C15AE">
        <w:rPr>
          <w:color w:val="000000"/>
          <w:sz w:val="28"/>
          <w:szCs w:val="28"/>
          <w:shd w:val="clear" w:color="auto" w:fill="FFFFFF"/>
          <w:lang w:val="ru-RU" w:eastAsia="ru-RU"/>
        </w:rPr>
        <w:t>) выборки ниже, чем соответствующие оценки для предприятий Франции</w:t>
      </w:r>
      <w:r w:rsidR="00556553" w:rsidRPr="00556553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(</w:t>
      </w:r>
      <w:r w:rsidR="00556553">
        <w:rPr>
          <w:color w:val="000000"/>
          <w:sz w:val="28"/>
          <w:szCs w:val="28"/>
          <w:shd w:val="clear" w:color="auto" w:fill="FFFFFF"/>
          <w:lang w:eastAsia="ru-RU"/>
        </w:rPr>
        <w:t>Cette</w:t>
      </w:r>
      <w:r w:rsidR="00556553" w:rsidRPr="00556553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556553">
        <w:rPr>
          <w:color w:val="000000"/>
          <w:sz w:val="28"/>
          <w:szCs w:val="28"/>
          <w:shd w:val="clear" w:color="auto" w:fill="FFFFFF"/>
          <w:lang w:eastAsia="ru-RU"/>
        </w:rPr>
        <w:t>et</w:t>
      </w:r>
      <w:r w:rsidR="00556553" w:rsidRPr="00556553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556553">
        <w:rPr>
          <w:color w:val="000000"/>
          <w:sz w:val="28"/>
          <w:szCs w:val="28"/>
          <w:shd w:val="clear" w:color="auto" w:fill="FFFFFF"/>
          <w:lang w:eastAsia="ru-RU"/>
        </w:rPr>
        <w:t>al</w:t>
      </w:r>
      <w:r w:rsidR="00556553" w:rsidRPr="00556553">
        <w:rPr>
          <w:color w:val="000000"/>
          <w:sz w:val="28"/>
          <w:szCs w:val="28"/>
          <w:shd w:val="clear" w:color="auto" w:fill="FFFFFF"/>
          <w:lang w:val="ru-RU" w:eastAsia="ru-RU"/>
        </w:rPr>
        <w:t>., 2016)</w:t>
      </w:r>
      <w:r w:rsidR="00DE7ECB" w:rsidRPr="001C15AE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. </w:t>
      </w:r>
      <w:r w:rsidR="009140D7">
        <w:rPr>
          <w:color w:val="000000"/>
          <w:sz w:val="28"/>
          <w:szCs w:val="28"/>
          <w:shd w:val="clear" w:color="auto" w:fill="FFFFFF"/>
          <w:lang w:val="ru-RU" w:eastAsia="ru-RU"/>
        </w:rPr>
        <w:t>Было показано, что с</w:t>
      </w:r>
      <w:r w:rsidR="00DE7ECB" w:rsidRPr="009140D7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корость </w:t>
      </w:r>
      <w:r w:rsidR="00DE7ECB" w:rsidRPr="009140D7">
        <w:rPr>
          <w:color w:val="000000"/>
          <w:sz w:val="28"/>
          <w:szCs w:val="28"/>
          <w:shd w:val="clear" w:color="auto" w:fill="FFFFFF"/>
          <w:lang w:eastAsia="ru-RU"/>
        </w:rPr>
        <w:t>β</w:t>
      </w:r>
      <w:r w:rsidR="00DE7ECB" w:rsidRPr="009140D7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-конвергенции увеличивается с замедлением роста </w:t>
      </w:r>
      <w:r w:rsidR="00DE7ECB" w:rsidRPr="009140D7">
        <w:rPr>
          <w:color w:val="000000"/>
          <w:sz w:val="28"/>
          <w:szCs w:val="28"/>
          <w:shd w:val="clear" w:color="auto" w:fill="FFFFFF"/>
          <w:lang w:eastAsia="ru-RU"/>
        </w:rPr>
        <w:t>TFP</w:t>
      </w:r>
      <w:r w:rsidR="00DE7ECB" w:rsidRPr="009140D7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на границе производственных возможностей</w:t>
      </w:r>
      <w:r w:rsidR="009140D7">
        <w:rPr>
          <w:color w:val="000000"/>
          <w:sz w:val="28"/>
          <w:szCs w:val="28"/>
          <w:shd w:val="clear" w:color="auto" w:fill="FFFFFF"/>
          <w:lang w:val="ru-RU" w:eastAsia="ru-RU"/>
        </w:rPr>
        <w:t>, а</w:t>
      </w:r>
      <w:r w:rsidR="00DE7ECB" w:rsidRPr="009140D7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9140D7">
        <w:rPr>
          <w:color w:val="000000"/>
          <w:sz w:val="28"/>
          <w:szCs w:val="28"/>
          <w:shd w:val="clear" w:color="auto" w:fill="FFFFFF"/>
          <w:lang w:val="ru-RU" w:eastAsia="ru-RU"/>
        </w:rPr>
        <w:t>б</w:t>
      </w:r>
      <w:r w:rsidR="009140D7" w:rsidRPr="009140D7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олее высокие темпы </w:t>
      </w:r>
      <w:r w:rsidR="00DE7ECB" w:rsidRPr="009140D7">
        <w:rPr>
          <w:color w:val="000000"/>
          <w:sz w:val="28"/>
          <w:szCs w:val="28"/>
          <w:shd w:val="clear" w:color="auto" w:fill="FFFFFF"/>
          <w:lang w:eastAsia="ru-RU"/>
        </w:rPr>
        <w:t>β</w:t>
      </w:r>
      <w:r w:rsidR="00DE7ECB" w:rsidRPr="009140D7">
        <w:rPr>
          <w:color w:val="000000"/>
          <w:sz w:val="28"/>
          <w:szCs w:val="28"/>
          <w:shd w:val="clear" w:color="auto" w:fill="FFFFFF"/>
          <w:lang w:val="ru-RU" w:eastAsia="ru-RU"/>
        </w:rPr>
        <w:t>-конвергенции</w:t>
      </w:r>
      <w:r w:rsidR="009140D7" w:rsidRPr="009140D7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демонстрируют небольшие и молодые предприятия.</w:t>
      </w:r>
    </w:p>
    <w:p w14:paraId="6A6AB10D" w14:textId="56A5C539" w:rsidR="00657B08" w:rsidRDefault="00B020A5" w:rsidP="00B020A5">
      <w:pPr>
        <w:pStyle w:val="a3"/>
        <w:numPr>
          <w:ilvl w:val="0"/>
          <w:numId w:val="4"/>
        </w:numPr>
        <w:spacing w:line="360" w:lineRule="auto"/>
        <w:ind w:left="426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657B08">
        <w:rPr>
          <w:color w:val="000000"/>
          <w:sz w:val="28"/>
          <w:szCs w:val="28"/>
          <w:shd w:val="clear" w:color="auto" w:fill="FFFFFF"/>
          <w:lang w:val="ru-RU" w:eastAsia="ru-RU"/>
        </w:rPr>
        <w:lastRenderedPageBreak/>
        <w:t xml:space="preserve">В </w:t>
      </w:r>
      <w:r w:rsidR="003D29E5" w:rsidRPr="00657B08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работе </w:t>
      </w:r>
      <w:r w:rsidR="000954F2" w:rsidRPr="00657B08">
        <w:rPr>
          <w:color w:val="000000"/>
          <w:sz w:val="28"/>
          <w:szCs w:val="28"/>
          <w:shd w:val="clear" w:color="auto" w:fill="FFFFFF"/>
          <w:lang w:val="ru-RU" w:eastAsia="ru-RU"/>
        </w:rPr>
        <w:t>Бессонов</w:t>
      </w:r>
      <w:r w:rsidR="00563E46">
        <w:rPr>
          <w:color w:val="000000"/>
          <w:sz w:val="28"/>
          <w:szCs w:val="28"/>
          <w:shd w:val="clear" w:color="auto" w:fill="FFFFFF"/>
          <w:lang w:val="ru-RU" w:eastAsia="ru-RU"/>
        </w:rPr>
        <w:t>ой</w:t>
      </w:r>
      <w:r w:rsidR="000954F2" w:rsidRPr="00657B08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и Цветков</w:t>
      </w:r>
      <w:r w:rsidR="00563E46">
        <w:rPr>
          <w:color w:val="000000"/>
          <w:sz w:val="28"/>
          <w:szCs w:val="28"/>
          <w:shd w:val="clear" w:color="auto" w:fill="FFFFFF"/>
          <w:lang w:val="ru-RU" w:eastAsia="ru-RU"/>
        </w:rPr>
        <w:t>ой</w:t>
      </w:r>
      <w:r w:rsidR="000954F2" w:rsidRPr="00657B08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(2020)</w:t>
      </w:r>
      <w:r w:rsidRPr="00657B08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0954F2" w:rsidRPr="00657B08">
        <w:rPr>
          <w:color w:val="000000"/>
          <w:sz w:val="28"/>
          <w:szCs w:val="28"/>
          <w:shd w:val="clear" w:color="auto" w:fill="FFFFFF"/>
          <w:lang w:val="ru-RU" w:eastAsia="ru-RU"/>
        </w:rPr>
        <w:t>было продемонстрировано</w:t>
      </w:r>
      <w:r w:rsidRPr="00657B08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r w:rsidR="005423C7" w:rsidRPr="00657B08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что </w:t>
      </w:r>
      <w:r w:rsidR="000954F2" w:rsidRPr="00657B08">
        <w:rPr>
          <w:color w:val="000000"/>
          <w:sz w:val="28"/>
          <w:szCs w:val="28"/>
          <w:shd w:val="clear" w:color="auto" w:fill="FFFFFF"/>
          <w:lang w:val="ru-RU" w:eastAsia="ru-RU"/>
        </w:rPr>
        <w:t>основным источником быстрого роста является небольшая группа молодых предприятий, которые только входят на рынок. Доля вновь входящих быстрорастущих компаний в выборке невелика</w:t>
      </w:r>
      <w:r w:rsidR="00657B08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, что приводит к относительно низкой скорости </w:t>
      </w:r>
      <w:r w:rsidR="00657B08" w:rsidRPr="00657B08">
        <w:rPr>
          <w:color w:val="000000"/>
          <w:sz w:val="28"/>
          <w:szCs w:val="28"/>
          <w:shd w:val="clear" w:color="auto" w:fill="FFFFFF"/>
          <w:lang w:val="ru-RU" w:eastAsia="ru-RU"/>
        </w:rPr>
        <w:t>β-конвергенции</w:t>
      </w:r>
      <w:r w:rsidR="00657B08">
        <w:rPr>
          <w:color w:val="000000"/>
          <w:sz w:val="28"/>
          <w:szCs w:val="28"/>
          <w:shd w:val="clear" w:color="auto" w:fill="FFFFFF"/>
          <w:lang w:val="ru-RU" w:eastAsia="ru-RU"/>
        </w:rPr>
        <w:t>.</w:t>
      </w:r>
      <w:r w:rsidR="005A0FE0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Одним из факторов, препятствующих снижению неоднородности предприятий в рамках отраслей, может выступать региональная гетерогенность. Оценки корреляции между относительным уровнем валового регионального продукта (ВРП) и средним децилем производительности труда в регионе позволяют сделать вывод, что </w:t>
      </w:r>
      <w:r w:rsidR="00563E46">
        <w:rPr>
          <w:color w:val="000000"/>
          <w:sz w:val="28"/>
          <w:szCs w:val="28"/>
          <w:shd w:val="clear" w:color="auto" w:fill="FFFFFF"/>
          <w:lang w:val="ru-RU" w:eastAsia="ru-RU"/>
        </w:rPr>
        <w:t>более производительные предприятия с большей вероятностью функционируют</w:t>
      </w:r>
      <w:r w:rsidR="005A0FE0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в наиболее экономически развитых регионах</w:t>
      </w:r>
      <w:r w:rsidR="00563E46">
        <w:rPr>
          <w:color w:val="000000"/>
          <w:sz w:val="28"/>
          <w:szCs w:val="28"/>
          <w:shd w:val="clear" w:color="auto" w:fill="FFFFFF"/>
          <w:lang w:val="ru-RU" w:eastAsia="ru-RU"/>
        </w:rPr>
        <w:t>.</w:t>
      </w:r>
    </w:p>
    <w:p w14:paraId="5A9ADD6B" w14:textId="19FCEA73" w:rsidR="00B020A5" w:rsidRPr="00AD5A09" w:rsidRDefault="000954F2" w:rsidP="00AD5A09">
      <w:pPr>
        <w:pStyle w:val="a3"/>
        <w:numPr>
          <w:ilvl w:val="0"/>
          <w:numId w:val="4"/>
        </w:numPr>
        <w:spacing w:line="360" w:lineRule="auto"/>
        <w:ind w:left="426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AD5A09">
        <w:rPr>
          <w:color w:val="000000"/>
          <w:sz w:val="28"/>
          <w:szCs w:val="28"/>
          <w:shd w:val="clear" w:color="auto" w:fill="FFFFFF"/>
          <w:lang w:val="ru-RU" w:eastAsia="ru-RU"/>
        </w:rPr>
        <w:t>В работе Бессонов</w:t>
      </w:r>
      <w:r w:rsidR="00102B34">
        <w:rPr>
          <w:color w:val="000000"/>
          <w:sz w:val="28"/>
          <w:szCs w:val="28"/>
          <w:shd w:val="clear" w:color="auto" w:fill="FFFFFF"/>
          <w:lang w:val="ru-RU" w:eastAsia="ru-RU"/>
        </w:rPr>
        <w:t>ой</w:t>
      </w:r>
      <w:r w:rsidRPr="00AD5A09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и др. (2020) п</w:t>
      </w:r>
      <w:r w:rsidR="00AD5A09" w:rsidRPr="00AD5A09">
        <w:rPr>
          <w:color w:val="000000"/>
          <w:sz w:val="28"/>
          <w:szCs w:val="28"/>
          <w:shd w:val="clear" w:color="auto" w:fill="FFFFFF"/>
          <w:lang w:val="ru-RU" w:eastAsia="ru-RU"/>
        </w:rPr>
        <w:t>одтверждено</w:t>
      </w:r>
      <w:r w:rsidR="00657B08" w:rsidRPr="00AD5A09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, что </w:t>
      </w:r>
      <w:r w:rsidR="00AD5A09" w:rsidRPr="00AD5A09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темпы роста производительности труда выше у самых молодых компаний. </w:t>
      </w:r>
      <w:r w:rsidR="002D373C" w:rsidRPr="00AD5A09">
        <w:rPr>
          <w:color w:val="000000"/>
          <w:sz w:val="28"/>
          <w:szCs w:val="28"/>
          <w:shd w:val="clear" w:color="auto" w:fill="FFFFFF"/>
          <w:lang w:val="ru-RU" w:eastAsia="ru-RU"/>
        </w:rPr>
        <w:t>Было показано, что р</w:t>
      </w:r>
      <w:r w:rsidR="002D373C" w:rsidRPr="00AD5A09">
        <w:rPr>
          <w:sz w:val="28"/>
          <w:szCs w:val="28"/>
          <w:lang w:val="ru-RU"/>
        </w:rPr>
        <w:t xml:space="preserve">ост в этой группе в большей степени носит догоняющий характер: молодые фирмы выходят на полную </w:t>
      </w:r>
      <w:r w:rsidR="00102B34">
        <w:rPr>
          <w:sz w:val="28"/>
          <w:szCs w:val="28"/>
          <w:lang w:val="ru-RU"/>
        </w:rPr>
        <w:t xml:space="preserve">производственную </w:t>
      </w:r>
      <w:r w:rsidR="002D373C" w:rsidRPr="00AD5A09">
        <w:rPr>
          <w:sz w:val="28"/>
          <w:szCs w:val="28"/>
          <w:lang w:val="ru-RU"/>
        </w:rPr>
        <w:t xml:space="preserve">мощность. </w:t>
      </w:r>
      <w:r w:rsidR="005423C7" w:rsidRPr="00AD5A09">
        <w:rPr>
          <w:sz w:val="28"/>
          <w:szCs w:val="28"/>
          <w:lang w:val="ru-RU"/>
        </w:rPr>
        <w:t xml:space="preserve">После второго года жизни </w:t>
      </w:r>
      <w:r w:rsidR="002D373C" w:rsidRPr="00AD5A09">
        <w:rPr>
          <w:sz w:val="28"/>
          <w:szCs w:val="28"/>
          <w:lang w:val="ru-RU"/>
        </w:rPr>
        <w:t xml:space="preserve">новые компании догоняют </w:t>
      </w:r>
      <w:r w:rsidR="00102B34">
        <w:rPr>
          <w:sz w:val="28"/>
          <w:szCs w:val="28"/>
          <w:lang w:val="ru-RU"/>
        </w:rPr>
        <w:t xml:space="preserve">средний уровень производительности </w:t>
      </w:r>
      <w:r w:rsidR="002D373C" w:rsidRPr="00AD5A09">
        <w:rPr>
          <w:sz w:val="28"/>
          <w:szCs w:val="28"/>
          <w:lang w:val="ru-RU"/>
        </w:rPr>
        <w:t>уже работающи</w:t>
      </w:r>
      <w:r w:rsidR="00102B34">
        <w:rPr>
          <w:sz w:val="28"/>
          <w:szCs w:val="28"/>
          <w:lang w:val="ru-RU"/>
        </w:rPr>
        <w:t>х</w:t>
      </w:r>
      <w:r w:rsidR="002D373C" w:rsidRPr="00AD5A09">
        <w:rPr>
          <w:sz w:val="28"/>
          <w:szCs w:val="28"/>
          <w:lang w:val="ru-RU"/>
        </w:rPr>
        <w:t xml:space="preserve"> на рынке фирм</w:t>
      </w:r>
      <w:r w:rsidR="005423C7" w:rsidRPr="00AD5A09">
        <w:rPr>
          <w:sz w:val="28"/>
          <w:szCs w:val="28"/>
          <w:lang w:val="ru-RU"/>
        </w:rPr>
        <w:t>а и рост производительности труда значительно замедляется.</w:t>
      </w:r>
      <w:r w:rsidR="00342743" w:rsidRPr="00342743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342743" w:rsidRPr="00AD5A09">
        <w:rPr>
          <w:color w:val="000000"/>
          <w:sz w:val="28"/>
          <w:szCs w:val="28"/>
          <w:shd w:val="clear" w:color="auto" w:fill="FFFFFF"/>
          <w:lang w:val="ru-RU" w:eastAsia="ru-RU"/>
        </w:rPr>
        <w:t>При этом в среднем производительность малых предприятий</w:t>
      </w:r>
      <w:r w:rsidR="00342743" w:rsidRPr="00342743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342743">
        <w:rPr>
          <w:color w:val="000000"/>
          <w:sz w:val="28"/>
          <w:szCs w:val="28"/>
          <w:shd w:val="clear" w:color="auto" w:fill="FFFFFF"/>
          <w:lang w:val="ru-RU" w:eastAsia="ru-RU"/>
        </w:rPr>
        <w:t>всех возрастов</w:t>
      </w:r>
      <w:r w:rsidR="00342743" w:rsidRPr="00AD5A09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растет не быстрее, чем у крупных компаний.</w:t>
      </w:r>
    </w:p>
    <w:p w14:paraId="0681C949" w14:textId="16BB02DD" w:rsidR="009140D7" w:rsidRDefault="00563E46" w:rsidP="009140D7">
      <w:pPr>
        <w:pStyle w:val="a3"/>
        <w:numPr>
          <w:ilvl w:val="0"/>
          <w:numId w:val="4"/>
        </w:numPr>
        <w:spacing w:line="360" w:lineRule="auto"/>
        <w:ind w:left="426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В работе </w:t>
      </w:r>
      <w:r>
        <w:rPr>
          <w:color w:val="000000"/>
          <w:sz w:val="28"/>
          <w:szCs w:val="28"/>
          <w:shd w:val="clear" w:color="auto" w:fill="FFFFFF"/>
          <w:lang w:eastAsia="ru-RU"/>
        </w:rPr>
        <w:t>Bessonova</w:t>
      </w:r>
      <w:r w:rsidRPr="00563E46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eastAsia="ru-RU"/>
        </w:rPr>
        <w:t>and</w:t>
      </w:r>
      <w:r w:rsidRPr="00563E46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eastAsia="ru-RU"/>
        </w:rPr>
        <w:t>Tsvetkova</w:t>
      </w:r>
      <w:r w:rsidRPr="00563E46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(2021)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в результате проведенного</w:t>
      </w:r>
      <w:r w:rsidR="009140D7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моделирования производственной функции предприятий </w:t>
      </w:r>
      <w:r w:rsidR="0057362F">
        <w:rPr>
          <w:color w:val="000000"/>
          <w:sz w:val="28"/>
          <w:szCs w:val="28"/>
          <w:shd w:val="clear" w:color="auto" w:fill="FFFFFF"/>
          <w:lang w:val="ru-RU" w:eastAsia="ru-RU"/>
        </w:rPr>
        <w:t>из</w:t>
      </w:r>
      <w:r w:rsidR="0057362F" w:rsidRPr="0057362F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9140D7">
        <w:rPr>
          <w:color w:val="000000"/>
          <w:sz w:val="28"/>
          <w:szCs w:val="28"/>
          <w:shd w:val="clear" w:color="auto" w:fill="FFFFFF"/>
          <w:lang w:val="ru-RU" w:eastAsia="ru-RU"/>
        </w:rPr>
        <w:t>первой (</w:t>
      </w:r>
      <w:r w:rsidR="009140D7">
        <w:rPr>
          <w:color w:val="000000"/>
          <w:sz w:val="28"/>
          <w:szCs w:val="28"/>
          <w:shd w:val="clear" w:color="auto" w:fill="FFFFFF"/>
          <w:lang w:eastAsia="ru-RU"/>
        </w:rPr>
        <w:t>I</w:t>
      </w:r>
      <w:r w:rsidR="009140D7">
        <w:rPr>
          <w:color w:val="000000"/>
          <w:sz w:val="28"/>
          <w:szCs w:val="28"/>
          <w:shd w:val="clear" w:color="auto" w:fill="FFFFFF"/>
          <w:lang w:val="ru-RU" w:eastAsia="ru-RU"/>
        </w:rPr>
        <w:t>)</w:t>
      </w:r>
      <w:r w:rsidR="009140D7" w:rsidRPr="009140D7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9140D7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выборки </w:t>
      </w:r>
      <w:r w:rsidR="0057362F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с использованием метода стохастических границ производственных возможностей </w:t>
      </w:r>
      <w:r w:rsidR="0057362F" w:rsidRPr="0057362F">
        <w:rPr>
          <w:color w:val="000000"/>
          <w:sz w:val="28"/>
          <w:szCs w:val="28"/>
          <w:shd w:val="clear" w:color="auto" w:fill="FFFFFF"/>
          <w:lang w:val="ru-RU" w:eastAsia="ru-RU"/>
        </w:rPr>
        <w:t>(</w:t>
      </w:r>
      <w:r w:rsidR="0057362F">
        <w:rPr>
          <w:color w:val="000000"/>
          <w:sz w:val="28"/>
          <w:szCs w:val="28"/>
          <w:shd w:val="clear" w:color="auto" w:fill="FFFFFF"/>
          <w:lang w:eastAsia="ru-RU"/>
        </w:rPr>
        <w:t>SFA</w:t>
      </w:r>
      <w:r w:rsidR="0057362F" w:rsidRPr="0057362F">
        <w:rPr>
          <w:color w:val="000000"/>
          <w:sz w:val="28"/>
          <w:szCs w:val="28"/>
          <w:shd w:val="clear" w:color="auto" w:fill="FFFFFF"/>
          <w:lang w:val="ru-RU" w:eastAsia="ru-RU"/>
        </w:rPr>
        <w:t>)</w:t>
      </w:r>
      <w:r w:rsidR="0057362F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было выявлено, что за период 2011–2016 годы техническая эффективность в большинстве отраслей </w:t>
      </w:r>
      <w:r w:rsidR="008751E5">
        <w:rPr>
          <w:color w:val="000000"/>
          <w:sz w:val="28"/>
          <w:szCs w:val="28"/>
          <w:shd w:val="clear" w:color="auto" w:fill="FFFFFF"/>
          <w:lang w:val="ru-RU" w:eastAsia="ru-RU"/>
        </w:rPr>
        <w:t>первой (</w:t>
      </w:r>
      <w:r w:rsidR="008751E5">
        <w:rPr>
          <w:color w:val="000000"/>
          <w:sz w:val="28"/>
          <w:szCs w:val="28"/>
          <w:shd w:val="clear" w:color="auto" w:fill="FFFFFF"/>
          <w:lang w:eastAsia="ru-RU"/>
        </w:rPr>
        <w:t>I</w:t>
      </w:r>
      <w:r w:rsidR="008751E5">
        <w:rPr>
          <w:color w:val="000000"/>
          <w:sz w:val="28"/>
          <w:szCs w:val="28"/>
          <w:shd w:val="clear" w:color="auto" w:fill="FFFFFF"/>
          <w:lang w:val="ru-RU" w:eastAsia="ru-RU"/>
        </w:rPr>
        <w:t>)</w:t>
      </w:r>
      <w:r w:rsidR="008751E5" w:rsidRPr="008751E5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8751E5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выборки </w:t>
      </w:r>
      <w:r w:rsidR="0057362F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снижалась. </w:t>
      </w:r>
      <w:r w:rsidR="008751E5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Незначимая динамика технической эффективности была выявлена в тех отраслях, где рост на границе производственных возможностей был ниже, чем в тех видах деятельности, где техническая эффективности снижалась. Таким образом, </w:t>
      </w:r>
      <w:r w:rsidR="008751E5">
        <w:rPr>
          <w:color w:val="000000"/>
          <w:sz w:val="28"/>
          <w:szCs w:val="28"/>
          <w:shd w:val="clear" w:color="auto" w:fill="FFFFFF"/>
          <w:lang w:val="ru-RU" w:eastAsia="ru-RU"/>
        </w:rPr>
        <w:lastRenderedPageBreak/>
        <w:t>неоднородность предприятий сохранялась на стабильном уровне</w:t>
      </w:r>
      <w:r w:rsidR="00B522A0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в отдельных отраслях</w:t>
      </w:r>
      <w:r w:rsidR="008751E5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за счет слабой динамики наиболее производительных предприятий, а не активного догоняющего роста отстающих.</w:t>
      </w:r>
    </w:p>
    <w:p w14:paraId="295F7344" w14:textId="17EE6CD0" w:rsidR="008751E5" w:rsidRDefault="008751E5" w:rsidP="009140D7">
      <w:pPr>
        <w:pStyle w:val="a3"/>
        <w:numPr>
          <w:ilvl w:val="0"/>
          <w:numId w:val="4"/>
        </w:numPr>
        <w:spacing w:line="360" w:lineRule="auto"/>
        <w:ind w:left="426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На основе проведенного</w:t>
      </w:r>
      <w:r w:rsidR="00563E46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в работе Цветковой (2021)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моделирования производственных функций предприятий второй </w:t>
      </w:r>
      <w:r w:rsidRPr="008751E5">
        <w:rPr>
          <w:color w:val="000000"/>
          <w:sz w:val="28"/>
          <w:szCs w:val="28"/>
          <w:shd w:val="clear" w:color="auto" w:fill="FFFFFF"/>
          <w:lang w:val="ru-RU" w:eastAsia="ru-RU"/>
        </w:rPr>
        <w:t>(</w:t>
      </w:r>
      <w:r>
        <w:rPr>
          <w:color w:val="000000"/>
          <w:sz w:val="28"/>
          <w:szCs w:val="28"/>
          <w:shd w:val="clear" w:color="auto" w:fill="FFFFFF"/>
          <w:lang w:eastAsia="ru-RU"/>
        </w:rPr>
        <w:t>II</w:t>
      </w:r>
      <w:r w:rsidRPr="008751E5">
        <w:rPr>
          <w:color w:val="000000"/>
          <w:sz w:val="28"/>
          <w:szCs w:val="28"/>
          <w:shd w:val="clear" w:color="auto" w:fill="FFFFFF"/>
          <w:lang w:val="ru-RU" w:eastAsia="ru-RU"/>
        </w:rPr>
        <w:t>)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выборки с использованием метода </w:t>
      </w:r>
      <w:r>
        <w:rPr>
          <w:color w:val="000000"/>
          <w:sz w:val="28"/>
          <w:szCs w:val="28"/>
          <w:shd w:val="clear" w:color="auto" w:fill="FFFFFF"/>
          <w:lang w:eastAsia="ru-RU"/>
        </w:rPr>
        <w:t>SFA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с учётом гетерогенности дисперсии ошибки неэффективности было выявлено, что </w:t>
      </w:r>
      <w:r w:rsidR="008842B7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техническая эффективность предприятия растёт с размером компании и снижается с возрастом. Оценки динамики технической эффективности подтверждают выводы о том, что с 2013 по 2018 год в большинстве отраслей второй </w:t>
      </w:r>
      <w:r w:rsidR="008842B7" w:rsidRPr="008842B7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(II) </w:t>
      </w:r>
      <w:r w:rsidR="008842B7">
        <w:rPr>
          <w:color w:val="000000"/>
          <w:sz w:val="28"/>
          <w:szCs w:val="28"/>
          <w:shd w:val="clear" w:color="auto" w:fill="FFFFFF"/>
          <w:lang w:val="ru-RU" w:eastAsia="ru-RU"/>
        </w:rPr>
        <w:t>выборки техническая эффективность не увеличилась. В некоторых видах деятельности наблюдалось снижение</w:t>
      </w:r>
      <w:r w:rsidR="00C93BB8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показателя</w:t>
      </w:r>
      <w:r w:rsidR="008842B7">
        <w:rPr>
          <w:color w:val="000000"/>
          <w:sz w:val="28"/>
          <w:szCs w:val="28"/>
          <w:shd w:val="clear" w:color="auto" w:fill="FFFFFF"/>
          <w:lang w:val="ru-RU" w:eastAsia="ru-RU"/>
        </w:rPr>
        <w:t>, минимальные значения было отмечены в 2015–2016 годах, тогда как в 2017–2018 техническая эффективность продемонстрировала восстановление.</w:t>
      </w:r>
      <w:r w:rsidR="00FC41CE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Поскольку сокращение технической эффективности наблюдалось в крупных отраслях, вклад этих видов деятельности в совокупную выручку и численность сотрудников выборки превышает 50%.</w:t>
      </w:r>
    </w:p>
    <w:p w14:paraId="4C321FB9" w14:textId="6F68AE50" w:rsidR="007A4F78" w:rsidRDefault="007A4F78" w:rsidP="009140D7">
      <w:pPr>
        <w:pStyle w:val="a3"/>
        <w:numPr>
          <w:ilvl w:val="0"/>
          <w:numId w:val="4"/>
        </w:numPr>
        <w:spacing w:line="360" w:lineRule="auto"/>
        <w:ind w:left="426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В </w:t>
      </w:r>
      <w:r w:rsidR="00BD3A2D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работе Бессонова и др. (2021а) в 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рамках анализа интенсивности выходов предприятий в </w:t>
      </w:r>
      <w:r w:rsidR="00FF5C63">
        <w:rPr>
          <w:color w:val="000000"/>
          <w:sz w:val="28"/>
          <w:szCs w:val="28"/>
          <w:shd w:val="clear" w:color="auto" w:fill="FFFFFF"/>
          <w:lang w:val="ru-RU" w:eastAsia="ru-RU"/>
        </w:rPr>
        <w:t>период кризиса, вызванного пандемией новой коронавирусной инфекции, было выявлено, что предприятия, отнесенные к группе отстающих по уровню производительности труда</w:t>
      </w:r>
      <w:r w:rsidR="001B035C">
        <w:rPr>
          <w:color w:val="000000"/>
          <w:sz w:val="28"/>
          <w:szCs w:val="28"/>
          <w:shd w:val="clear" w:color="auto" w:fill="FFFFFF"/>
          <w:lang w:val="ru-RU" w:eastAsia="ru-RU"/>
        </w:rPr>
        <w:t>,</w:t>
      </w:r>
      <w:r w:rsidR="001B035C" w:rsidRPr="001B035C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1B035C">
        <w:rPr>
          <w:color w:val="000000"/>
          <w:sz w:val="28"/>
          <w:szCs w:val="28"/>
          <w:shd w:val="clear" w:color="auto" w:fill="FFFFFF"/>
          <w:lang w:val="ru-RU" w:eastAsia="ru-RU"/>
        </w:rPr>
        <w:t>пострадали в наибольшей степени</w:t>
      </w:r>
      <w:r w:rsidR="00FF5C63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. Результаты анализа позволяют, таким образом, предположить наличие признаков </w:t>
      </w:r>
      <w:r w:rsidR="00B522A0">
        <w:rPr>
          <w:color w:val="000000"/>
          <w:sz w:val="28"/>
          <w:szCs w:val="28"/>
          <w:shd w:val="clear" w:color="auto" w:fill="FFFFFF"/>
          <w:lang w:val="ru-RU" w:eastAsia="ru-RU"/>
        </w:rPr>
        <w:t>«</w:t>
      </w:r>
      <w:r w:rsidR="00FF5C63">
        <w:rPr>
          <w:color w:val="000000"/>
          <w:sz w:val="28"/>
          <w:szCs w:val="28"/>
          <w:shd w:val="clear" w:color="auto" w:fill="FFFFFF"/>
          <w:lang w:val="ru-RU" w:eastAsia="ru-RU"/>
        </w:rPr>
        <w:t>очищающего эффекта</w:t>
      </w:r>
      <w:r w:rsidR="00A666E9">
        <w:rPr>
          <w:color w:val="000000"/>
          <w:sz w:val="28"/>
          <w:szCs w:val="28"/>
          <w:shd w:val="clear" w:color="auto" w:fill="FFFFFF"/>
          <w:lang w:val="ru-RU" w:eastAsia="ru-RU"/>
        </w:rPr>
        <w:t>»</w:t>
      </w:r>
      <w:r w:rsidR="00FF5C63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кризиса. С другой стороны, было выявлено и действие </w:t>
      </w:r>
      <w:r w:rsidR="00B522A0">
        <w:rPr>
          <w:color w:val="000000"/>
          <w:sz w:val="28"/>
          <w:szCs w:val="28"/>
          <w:shd w:val="clear" w:color="auto" w:fill="FFFFFF"/>
          <w:lang w:val="ru-RU" w:eastAsia="ru-RU"/>
        </w:rPr>
        <w:t>«</w:t>
      </w:r>
      <w:r w:rsidR="00FF5C63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отпугивающего эффекта», поскольку </w:t>
      </w:r>
      <w:r w:rsidR="00164830">
        <w:rPr>
          <w:color w:val="000000"/>
          <w:sz w:val="28"/>
          <w:szCs w:val="28"/>
          <w:shd w:val="clear" w:color="auto" w:fill="FFFFFF"/>
          <w:lang w:val="ru-RU" w:eastAsia="ru-RU"/>
        </w:rPr>
        <w:t>наблюдалось резкое снижение числа входов новых предприятий на рынок.</w:t>
      </w:r>
    </w:p>
    <w:p w14:paraId="085DF8DB" w14:textId="3B7A5D79" w:rsidR="00164830" w:rsidRDefault="001B035C" w:rsidP="009140D7">
      <w:pPr>
        <w:pStyle w:val="a3"/>
        <w:numPr>
          <w:ilvl w:val="0"/>
          <w:numId w:val="4"/>
        </w:numPr>
        <w:spacing w:line="360" w:lineRule="auto"/>
        <w:ind w:left="426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Анализ изменений характера кредитования в 2020 году на фоне пандемии новой коронавирусной инфекции показал, что по сравнению с 2019 годом число выданных ссуд значительно выросло при сокращении их среднего размера</w:t>
      </w:r>
      <w:r w:rsidR="00BD3A2D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(Бессонова и др., 2021б)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. Эти изменения объясняются действием 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lastRenderedPageBreak/>
        <w:t xml:space="preserve">программ льготного кредитования по низкой ставке. </w:t>
      </w:r>
      <w:r w:rsidR="005018BF">
        <w:rPr>
          <w:color w:val="000000"/>
          <w:sz w:val="28"/>
          <w:szCs w:val="28"/>
          <w:shd w:val="clear" w:color="auto" w:fill="FFFFFF"/>
          <w:lang w:val="ru-RU" w:eastAsia="ru-RU"/>
        </w:rPr>
        <w:t>Однако несмотря на высокое число льготных ссуд, объем кредитования по льготным ставкам в 2020 году не превысил значений 2019 года. В свою очередь структура выдач кредитов на стандартных рыночных условиях практически не изменилась: банки чаще и больше выда</w:t>
      </w:r>
      <w:r w:rsidR="007E59F4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вали </w:t>
      </w:r>
      <w:r w:rsidR="005018BF">
        <w:rPr>
          <w:color w:val="000000"/>
          <w:sz w:val="28"/>
          <w:szCs w:val="28"/>
          <w:shd w:val="clear" w:color="auto" w:fill="FFFFFF"/>
          <w:lang w:val="ru-RU" w:eastAsia="ru-RU"/>
        </w:rPr>
        <w:t>ссуды предприятиям из децилей с наибольшим уровнем производительности. Результаты анализа позволяют сделать вывод, что доступ к кредитованию высокопроизодительных компаний в 2020 году не ухудшился за счет менее производительных компаний.</w:t>
      </w:r>
    </w:p>
    <w:p w14:paraId="1547BFBF" w14:textId="353BB138" w:rsidR="001C15AE" w:rsidRDefault="001C15AE" w:rsidP="001C15AE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15AE">
        <w:rPr>
          <w:rFonts w:ascii="Times New Roman" w:hAnsi="Times New Roman" w:cs="Times New Roman"/>
          <w:b/>
          <w:sz w:val="32"/>
          <w:szCs w:val="32"/>
        </w:rPr>
        <w:t>Научная новизна</w:t>
      </w:r>
    </w:p>
    <w:p w14:paraId="6A320072" w14:textId="1A053CA0" w:rsidR="00252238" w:rsidRPr="004233B6" w:rsidRDefault="00252238" w:rsidP="00252238">
      <w:pPr>
        <w:pStyle w:val="a3"/>
        <w:numPr>
          <w:ilvl w:val="0"/>
          <w:numId w:val="7"/>
        </w:numPr>
        <w:spacing w:line="360" w:lineRule="auto"/>
        <w:ind w:left="426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4233B6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В исследовании соединены два используемых в литературе подхода к анализу неоднородности предприятий: оценка скорости β-конвергенции и </w:t>
      </w:r>
      <w:r w:rsidR="00434D58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оценка разброса в </w:t>
      </w:r>
      <w:r w:rsidRPr="004233B6">
        <w:rPr>
          <w:color w:val="000000"/>
          <w:sz w:val="28"/>
          <w:szCs w:val="28"/>
          <w:shd w:val="clear" w:color="auto" w:fill="FFFFFF"/>
          <w:lang w:val="ru-RU" w:eastAsia="ru-RU"/>
        </w:rPr>
        <w:t>уровн</w:t>
      </w:r>
      <w:r w:rsidR="00434D58">
        <w:rPr>
          <w:color w:val="000000"/>
          <w:sz w:val="28"/>
          <w:szCs w:val="28"/>
          <w:shd w:val="clear" w:color="auto" w:fill="FFFFFF"/>
          <w:lang w:val="ru-RU" w:eastAsia="ru-RU"/>
        </w:rPr>
        <w:t>е</w:t>
      </w:r>
      <w:r w:rsidRPr="004233B6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434D58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производительности труда (или </w:t>
      </w:r>
      <w:r w:rsidR="00434D58">
        <w:rPr>
          <w:color w:val="000000"/>
          <w:sz w:val="28"/>
          <w:szCs w:val="28"/>
          <w:shd w:val="clear" w:color="auto" w:fill="FFFFFF"/>
          <w:lang w:eastAsia="ru-RU"/>
        </w:rPr>
        <w:t>TFP</w:t>
      </w:r>
      <w:r w:rsidR="00434D58">
        <w:rPr>
          <w:color w:val="000000"/>
          <w:sz w:val="28"/>
          <w:szCs w:val="28"/>
          <w:shd w:val="clear" w:color="auto" w:fill="FFFFFF"/>
          <w:lang w:val="ru-RU" w:eastAsia="ru-RU"/>
        </w:rPr>
        <w:t>)</w:t>
      </w:r>
      <w:r w:rsidR="004233B6" w:rsidRPr="004233B6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. Во втором случае </w:t>
      </w:r>
      <w:r w:rsidR="00BD3A2D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в работах </w:t>
      </w:r>
      <w:r w:rsidR="00BD3A2D">
        <w:rPr>
          <w:color w:val="000000"/>
          <w:sz w:val="28"/>
          <w:szCs w:val="28"/>
          <w:shd w:val="clear" w:color="auto" w:fill="FFFFFF"/>
          <w:lang w:eastAsia="ru-RU"/>
        </w:rPr>
        <w:t>Bessonova</w:t>
      </w:r>
      <w:r w:rsidR="00BD3A2D" w:rsidRPr="00BD3A2D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BD3A2D">
        <w:rPr>
          <w:color w:val="000000"/>
          <w:sz w:val="28"/>
          <w:szCs w:val="28"/>
          <w:shd w:val="clear" w:color="auto" w:fill="FFFFFF"/>
          <w:lang w:eastAsia="ru-RU"/>
        </w:rPr>
        <w:t>and</w:t>
      </w:r>
      <w:r w:rsidR="00BD3A2D" w:rsidRPr="00BD3A2D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BD3A2D">
        <w:rPr>
          <w:color w:val="000000"/>
          <w:sz w:val="28"/>
          <w:szCs w:val="28"/>
          <w:shd w:val="clear" w:color="auto" w:fill="FFFFFF"/>
          <w:lang w:eastAsia="ru-RU"/>
        </w:rPr>
        <w:t>Tsvetkova</w:t>
      </w:r>
      <w:r w:rsidR="00BD3A2D" w:rsidRPr="00BD3A2D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(2021)</w:t>
      </w:r>
      <w:r w:rsidR="00BD3A2D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и</w:t>
      </w:r>
      <w:r w:rsidR="00BD3A2D" w:rsidRPr="00BD3A2D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BD3A2D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Цветковой (2021) </w:t>
      </w:r>
      <w:r w:rsidR="004233B6" w:rsidRPr="004233B6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применялись подходы в рамках метода стохастических границ производственных возможностей, используемые </w:t>
      </w:r>
      <w:r w:rsidR="00434D58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в литературе </w:t>
      </w:r>
      <w:r w:rsidR="004233B6" w:rsidRPr="004233B6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в целях анализа </w:t>
      </w:r>
      <w:r w:rsidR="00434D58">
        <w:rPr>
          <w:color w:val="000000"/>
          <w:sz w:val="28"/>
          <w:szCs w:val="28"/>
          <w:shd w:val="clear" w:color="auto" w:fill="FFFFFF"/>
          <w:lang w:val="ru-RU" w:eastAsia="ru-RU"/>
        </w:rPr>
        <w:t>влияния различных факторов на техническую эффективность</w:t>
      </w:r>
      <w:r w:rsidR="004233B6" w:rsidRPr="004233B6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предприятий. </w:t>
      </w:r>
      <w:r w:rsidR="005D5C6D" w:rsidRPr="004233B6">
        <w:rPr>
          <w:color w:val="000000"/>
          <w:sz w:val="28"/>
          <w:szCs w:val="28"/>
          <w:shd w:val="clear" w:color="auto" w:fill="FFFFFF"/>
          <w:lang w:val="ru-RU" w:eastAsia="ru-RU"/>
        </w:rPr>
        <w:t>Проведенный анализ показал, что наличие β-конвергенции в выборке российских предприятий не сопровождается сокращением разрыва между наиболее производительными предприятиями, оперирующими на границе производственных возможностей, и всеми остальными.</w:t>
      </w:r>
      <w:r w:rsidR="004233B6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В части видов деятельности, напротив, техническая эффективность снижается в течение анализируемого периода.</w:t>
      </w:r>
    </w:p>
    <w:p w14:paraId="0813798B" w14:textId="45CB83A4" w:rsidR="00C624FC" w:rsidRPr="004F2FB6" w:rsidRDefault="004233B6" w:rsidP="00252238">
      <w:pPr>
        <w:pStyle w:val="a3"/>
        <w:numPr>
          <w:ilvl w:val="0"/>
          <w:numId w:val="7"/>
        </w:numPr>
        <w:spacing w:line="360" w:lineRule="auto"/>
        <w:ind w:left="426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4F2FB6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В исследовании </w:t>
      </w:r>
      <w:r w:rsidR="002C2636" w:rsidRPr="004F2FB6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анализ гетерогенности производительности труда связан с работами в области жизненного цикла фирмы. Полученные оценки </w:t>
      </w:r>
      <w:r w:rsidR="00BD3A2D" w:rsidRPr="004F2FB6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в </w:t>
      </w:r>
      <w:r w:rsidR="004F2FB6">
        <w:rPr>
          <w:color w:val="000000"/>
          <w:sz w:val="28"/>
          <w:szCs w:val="28"/>
          <w:shd w:val="clear" w:color="auto" w:fill="FFFFFF"/>
          <w:lang w:val="ru-RU" w:eastAsia="ru-RU"/>
        </w:rPr>
        <w:t>работе</w:t>
      </w:r>
      <w:r w:rsidR="00413141" w:rsidRPr="004F2FB6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BD3A2D" w:rsidRPr="004F2FB6">
        <w:rPr>
          <w:color w:val="000000"/>
          <w:sz w:val="28"/>
          <w:szCs w:val="28"/>
          <w:shd w:val="clear" w:color="auto" w:fill="FFFFFF"/>
          <w:lang w:val="ru-RU" w:eastAsia="ru-RU"/>
        </w:rPr>
        <w:t>Бессонов</w:t>
      </w:r>
      <w:r w:rsidR="00413141" w:rsidRPr="004F2FB6">
        <w:rPr>
          <w:color w:val="000000"/>
          <w:sz w:val="28"/>
          <w:szCs w:val="28"/>
          <w:shd w:val="clear" w:color="auto" w:fill="FFFFFF"/>
          <w:lang w:val="ru-RU" w:eastAsia="ru-RU"/>
        </w:rPr>
        <w:t>ой</w:t>
      </w:r>
      <w:r w:rsidR="00BD3A2D" w:rsidRPr="004F2FB6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и Цветков</w:t>
      </w:r>
      <w:r w:rsidR="00413141" w:rsidRPr="004F2FB6">
        <w:rPr>
          <w:color w:val="000000"/>
          <w:sz w:val="28"/>
          <w:szCs w:val="28"/>
          <w:shd w:val="clear" w:color="auto" w:fill="FFFFFF"/>
          <w:lang w:val="ru-RU" w:eastAsia="ru-RU"/>
        </w:rPr>
        <w:t>ой</w:t>
      </w:r>
      <w:r w:rsidR="00BD3A2D" w:rsidRPr="004F2FB6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413141" w:rsidRPr="004F2FB6">
        <w:rPr>
          <w:color w:val="000000"/>
          <w:sz w:val="28"/>
          <w:szCs w:val="28"/>
          <w:shd w:val="clear" w:color="auto" w:fill="FFFFFF"/>
          <w:lang w:val="ru-RU" w:eastAsia="ru-RU"/>
        </w:rPr>
        <w:t>(</w:t>
      </w:r>
      <w:r w:rsidR="00BD3A2D" w:rsidRPr="004F2FB6">
        <w:rPr>
          <w:color w:val="000000"/>
          <w:sz w:val="28"/>
          <w:szCs w:val="28"/>
          <w:shd w:val="clear" w:color="auto" w:fill="FFFFFF"/>
          <w:lang w:val="ru-RU" w:eastAsia="ru-RU"/>
        </w:rPr>
        <w:t>2020</w:t>
      </w:r>
      <w:r w:rsidR="004F2FB6" w:rsidRPr="004F2FB6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) </w:t>
      </w:r>
      <w:r w:rsidR="002C2636" w:rsidRPr="004F2FB6">
        <w:rPr>
          <w:color w:val="000000"/>
          <w:sz w:val="28"/>
          <w:szCs w:val="28"/>
          <w:shd w:val="clear" w:color="auto" w:fill="FFFFFF"/>
          <w:lang w:val="ru-RU" w:eastAsia="ru-RU"/>
        </w:rPr>
        <w:t>позволили сделать вывод о том, что источником быстрого роста производительности труда на нижних границах распределения этого показателя является небольшая группа молодых предприятий, входящих на рынок</w:t>
      </w:r>
      <w:r w:rsidR="004F2FB6" w:rsidRPr="004F2FB6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. Согласно работе Бессоновой и </w:t>
      </w:r>
      <w:r w:rsidR="004F2FB6" w:rsidRPr="004F2FB6">
        <w:rPr>
          <w:color w:val="000000"/>
          <w:sz w:val="28"/>
          <w:szCs w:val="28"/>
          <w:shd w:val="clear" w:color="auto" w:fill="FFFFFF"/>
          <w:lang w:val="ru-RU" w:eastAsia="ru-RU"/>
        </w:rPr>
        <w:lastRenderedPageBreak/>
        <w:t xml:space="preserve">др. (2020) наблюдаемые высокие темпы роста связаны с тем, что молодые предприятия </w:t>
      </w:r>
      <w:r w:rsidR="002C2636" w:rsidRPr="004F2FB6">
        <w:rPr>
          <w:color w:val="000000"/>
          <w:sz w:val="28"/>
          <w:szCs w:val="28"/>
          <w:shd w:val="clear" w:color="auto" w:fill="FFFFFF"/>
          <w:lang w:val="ru-RU" w:eastAsia="ru-RU"/>
        </w:rPr>
        <w:t>выходят на полную мощность и тем самым догоняют уже действующие на рынке фирмы.</w:t>
      </w:r>
      <w:r w:rsidR="00E31913" w:rsidRPr="004F2FB6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Исследование показало, что они необязательно достигают границ</w:t>
      </w:r>
      <w:r w:rsidR="00A110D2" w:rsidRPr="004F2FB6">
        <w:rPr>
          <w:color w:val="000000"/>
          <w:sz w:val="28"/>
          <w:szCs w:val="28"/>
          <w:shd w:val="clear" w:color="auto" w:fill="FFFFFF"/>
          <w:lang w:val="ru-RU" w:eastAsia="ru-RU"/>
        </w:rPr>
        <w:t>ы</w:t>
      </w:r>
      <w:r w:rsidR="00E31913" w:rsidRPr="004F2FB6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производственных возможностей, их рост </w:t>
      </w:r>
      <w:r w:rsidR="00A110D2" w:rsidRPr="004F2FB6">
        <w:rPr>
          <w:color w:val="000000"/>
          <w:sz w:val="28"/>
          <w:szCs w:val="28"/>
          <w:shd w:val="clear" w:color="auto" w:fill="FFFFFF"/>
          <w:lang w:val="ru-RU" w:eastAsia="ru-RU"/>
        </w:rPr>
        <w:t>значительно</w:t>
      </w:r>
      <w:r w:rsidR="00E31913" w:rsidRPr="004F2FB6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замедляется после одного–двух лет с момента выхода на рынок.</w:t>
      </w:r>
      <w:r w:rsidR="00434D58" w:rsidRPr="004F2FB6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Это подтверждает выводы об отсутствии сокращения разрыва между границей производственных возможностей и всеми остальными предприятиями, несмотря на наличие отрицательной связи между уровнем производительности труда (или </w:t>
      </w:r>
      <w:r w:rsidR="00434D58" w:rsidRPr="004F2FB6">
        <w:rPr>
          <w:color w:val="000000"/>
          <w:sz w:val="28"/>
          <w:szCs w:val="28"/>
          <w:shd w:val="clear" w:color="auto" w:fill="FFFFFF"/>
          <w:lang w:eastAsia="ru-RU"/>
        </w:rPr>
        <w:t>TFP</w:t>
      </w:r>
      <w:r w:rsidR="00434D58" w:rsidRPr="004F2FB6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) и темпами роста </w:t>
      </w:r>
      <w:r w:rsidR="007E59F4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соответствующего </w:t>
      </w:r>
      <w:r w:rsidR="00434D58" w:rsidRPr="004F2FB6">
        <w:rPr>
          <w:color w:val="000000"/>
          <w:sz w:val="28"/>
          <w:szCs w:val="28"/>
          <w:shd w:val="clear" w:color="auto" w:fill="FFFFFF"/>
          <w:lang w:val="ru-RU" w:eastAsia="ru-RU"/>
        </w:rPr>
        <w:t>показателя.</w:t>
      </w:r>
    </w:p>
    <w:p w14:paraId="38824499" w14:textId="174FD997" w:rsidR="00A110D2" w:rsidRPr="002F09BD" w:rsidRDefault="00975513" w:rsidP="00252238">
      <w:pPr>
        <w:pStyle w:val="a3"/>
        <w:numPr>
          <w:ilvl w:val="0"/>
          <w:numId w:val="7"/>
        </w:numPr>
        <w:spacing w:line="360" w:lineRule="auto"/>
        <w:ind w:left="426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2F09BD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Исследование вносит вклад в литературу, посвященную </w:t>
      </w:r>
      <w:r w:rsidR="00A32E6F" w:rsidRPr="002F09BD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теме </w:t>
      </w:r>
      <w:r w:rsidR="006129A2" w:rsidRPr="002F09BD">
        <w:rPr>
          <w:color w:val="000000"/>
          <w:sz w:val="28"/>
          <w:szCs w:val="28"/>
          <w:shd w:val="clear" w:color="auto" w:fill="FFFFFF"/>
          <w:lang w:val="ru-RU" w:eastAsia="ru-RU"/>
        </w:rPr>
        <w:t>эффективности государственной поддержки в ответ на кризис, вызванный пандемией новой коронавирусной инфекции</w:t>
      </w:r>
      <w:r w:rsidRPr="002F09BD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. </w:t>
      </w:r>
      <w:r w:rsidR="002F09BD" w:rsidRPr="002F09BD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Проведенный </w:t>
      </w:r>
      <w:r w:rsidR="00413141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в работе Бессоновой и др. (2021а) </w:t>
      </w:r>
      <w:r w:rsidR="002F09BD" w:rsidRPr="002F09BD">
        <w:rPr>
          <w:color w:val="000000"/>
          <w:sz w:val="28"/>
          <w:szCs w:val="28"/>
          <w:shd w:val="clear" w:color="auto" w:fill="FFFFFF"/>
          <w:lang w:val="ru-RU" w:eastAsia="ru-RU"/>
        </w:rPr>
        <w:t>анализ показывает, что в России шок пандемии и ответные меры не послужили причиной значительного перераспределения ресурсов от наиболее производительных компаний к отстающим</w:t>
      </w:r>
      <w:r w:rsidR="00DD2DD6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в краткосрочном периоде</w:t>
      </w:r>
      <w:r w:rsidR="002F09BD" w:rsidRPr="002F09BD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. </w:t>
      </w:r>
      <w:r w:rsidR="002F09BD">
        <w:rPr>
          <w:color w:val="000000"/>
          <w:sz w:val="28"/>
          <w:szCs w:val="28"/>
          <w:shd w:val="clear" w:color="auto" w:fill="FFFFFF"/>
          <w:lang w:val="ru-RU" w:eastAsia="ru-RU"/>
        </w:rPr>
        <w:t>Во-первых, и</w:t>
      </w:r>
      <w:r w:rsidR="00A50E88" w:rsidRPr="002F09BD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нтенсивность выходов компаний с рынка возросла в наибольшей степени среди наименее производительных компаний. </w:t>
      </w:r>
      <w:r w:rsidR="00DD2DD6">
        <w:rPr>
          <w:color w:val="000000"/>
          <w:sz w:val="28"/>
          <w:szCs w:val="28"/>
          <w:shd w:val="clear" w:color="auto" w:fill="FFFFFF"/>
          <w:lang w:val="ru-RU" w:eastAsia="ru-RU"/>
        </w:rPr>
        <w:t>Во-вторых,</w:t>
      </w:r>
      <w:r w:rsidR="00413141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согласно работе</w:t>
      </w:r>
      <w:r w:rsidR="00A50E88" w:rsidRPr="002F09BD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413141">
        <w:rPr>
          <w:color w:val="000000"/>
          <w:sz w:val="28"/>
          <w:szCs w:val="28"/>
          <w:shd w:val="clear" w:color="auto" w:fill="FFFFFF"/>
          <w:lang w:val="ru-RU" w:eastAsia="ru-RU"/>
        </w:rPr>
        <w:t>Бессоновой и др. (2021б),</w:t>
      </w:r>
      <w:r w:rsidR="00413141" w:rsidRPr="002F09BD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A50E88" w:rsidRPr="002F09BD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доступ к финансированию высокопроизводительных компаний сохранился, поскольку структура рыночного кредитования </w:t>
      </w:r>
      <w:r w:rsidR="009C1902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на стандартных, не льготных условиях </w:t>
      </w:r>
      <w:r w:rsidR="00A50E88" w:rsidRPr="002F09BD">
        <w:rPr>
          <w:color w:val="000000"/>
          <w:sz w:val="28"/>
          <w:szCs w:val="28"/>
          <w:shd w:val="clear" w:color="auto" w:fill="FFFFFF"/>
          <w:lang w:val="ru-RU" w:eastAsia="ru-RU"/>
        </w:rPr>
        <w:t>в 2020 году практически не претерпела изменений</w:t>
      </w:r>
      <w:r w:rsidR="009C1902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по сравнению с 2019 годом</w:t>
      </w:r>
      <w:r w:rsidR="00A50E88" w:rsidRPr="002F09BD">
        <w:rPr>
          <w:color w:val="000000"/>
          <w:sz w:val="28"/>
          <w:szCs w:val="28"/>
          <w:shd w:val="clear" w:color="auto" w:fill="FFFFFF"/>
          <w:lang w:val="ru-RU" w:eastAsia="ru-RU"/>
        </w:rPr>
        <w:t>.</w:t>
      </w:r>
      <w:r w:rsidR="00A32E6F" w:rsidRPr="002F09BD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Более актуальн</w:t>
      </w:r>
      <w:r w:rsidR="00567FBD" w:rsidRPr="002F09BD">
        <w:rPr>
          <w:color w:val="000000"/>
          <w:sz w:val="28"/>
          <w:szCs w:val="28"/>
          <w:shd w:val="clear" w:color="auto" w:fill="FFFFFF"/>
          <w:lang w:val="ru-RU" w:eastAsia="ru-RU"/>
        </w:rPr>
        <w:t>ым</w:t>
      </w:r>
      <w:r w:rsidR="00A720C9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, как показано в работе </w:t>
      </w:r>
      <w:r w:rsidR="00A720C9" w:rsidRPr="00A720C9">
        <w:rPr>
          <w:color w:val="000000"/>
          <w:sz w:val="28"/>
          <w:szCs w:val="28"/>
          <w:shd w:val="clear" w:color="auto" w:fill="FFFFFF"/>
          <w:lang w:val="ru-RU" w:eastAsia="ru-RU"/>
        </w:rPr>
        <w:t>Бессонов</w:t>
      </w:r>
      <w:r w:rsidR="00A720C9">
        <w:rPr>
          <w:color w:val="000000"/>
          <w:sz w:val="28"/>
          <w:szCs w:val="28"/>
          <w:shd w:val="clear" w:color="auto" w:fill="FFFFFF"/>
          <w:lang w:val="ru-RU" w:eastAsia="ru-RU"/>
        </w:rPr>
        <w:t>ой</w:t>
      </w:r>
      <w:r w:rsidR="00A720C9" w:rsidRPr="00A720C9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и др., 2021а</w:t>
      </w:r>
      <w:r w:rsidR="00A720C9">
        <w:rPr>
          <w:color w:val="000000"/>
          <w:sz w:val="28"/>
          <w:szCs w:val="28"/>
          <w:shd w:val="clear" w:color="auto" w:fill="FFFFFF"/>
          <w:lang w:val="ru-RU" w:eastAsia="ru-RU"/>
        </w:rPr>
        <w:t>,</w:t>
      </w:r>
      <w:r w:rsidR="00567FBD" w:rsidRPr="002F09BD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для России стал «отпугивающий эффект» кризиса, </w:t>
      </w:r>
      <w:r w:rsidR="00DD2DD6">
        <w:rPr>
          <w:color w:val="000000"/>
          <w:sz w:val="28"/>
          <w:szCs w:val="28"/>
          <w:shd w:val="clear" w:color="auto" w:fill="FFFFFF"/>
          <w:lang w:val="ru-RU" w:eastAsia="ru-RU"/>
        </w:rPr>
        <w:t>имеющий потенциальные последствия в долгосрочном периоде. В</w:t>
      </w:r>
      <w:r w:rsidR="00567FBD" w:rsidRPr="002F09BD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наиболее острую фазу</w:t>
      </w:r>
      <w:r w:rsidR="009C1902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кризиса</w:t>
      </w:r>
      <w:r w:rsidR="00567FBD" w:rsidRPr="002F09BD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резко сократилось число входящих на рынок предприятий, и оно не было компенсировано в последующие месяцы.</w:t>
      </w:r>
    </w:p>
    <w:p w14:paraId="39E7AE49" w14:textId="77777777" w:rsidR="006E600A" w:rsidRDefault="006E600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3C7A4E7B" w14:textId="273F13CF" w:rsidR="00434D58" w:rsidRDefault="00C75A2A" w:rsidP="00734A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Список опубликованных работ</w:t>
      </w:r>
    </w:p>
    <w:p w14:paraId="0EA28E4D" w14:textId="4152857F" w:rsidR="006E600A" w:rsidRPr="002636B5" w:rsidRDefault="006E600A" w:rsidP="006E600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E60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Bessonova</w:t>
      </w:r>
      <w:r w:rsidRPr="007E5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E60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7E5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7E59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5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E60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Tsvetkova</w:t>
      </w:r>
      <w:r w:rsidRPr="007E5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6E60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7E59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(2021). </w:t>
      </w:r>
      <w:r w:rsidRPr="006E60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Do Productivity Laggards Ever Catch Up with Leaders? </w:t>
      </w:r>
      <w:r w:rsidRPr="006E600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Review of Income and Wealth</w:t>
      </w:r>
      <w:r w:rsidRPr="006E60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2636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 Q2</w:t>
      </w:r>
      <w:r w:rsidRPr="002636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14:paraId="3E59162C" w14:textId="342C6D70" w:rsidR="006E600A" w:rsidRPr="002636B5" w:rsidRDefault="006E600A" w:rsidP="006E600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Бессонова</w:t>
      </w:r>
      <w:r w:rsidRPr="002636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E60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36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6E60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636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</w:t>
      </w:r>
      <w:r w:rsidRPr="006E600A">
        <w:rPr>
          <w:rFonts w:ascii="Times New Roman" w:eastAsia="Times New Roman" w:hAnsi="Times New Roman" w:cs="Times New Roman"/>
          <w:sz w:val="28"/>
          <w:szCs w:val="28"/>
          <w:lang w:eastAsia="ru-RU"/>
        </w:rPr>
        <w:t>Мякишева</w:t>
      </w:r>
      <w:r w:rsidRPr="002636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E60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636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6E600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636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</w:t>
      </w:r>
      <w:r w:rsidRPr="006E600A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Цветкова</w:t>
      </w:r>
      <w:r w:rsidRPr="002636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E60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36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6E600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636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(2021). </w:t>
      </w:r>
      <w:r w:rsidRPr="006E600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выходит с рынка в период пандемии. </w:t>
      </w:r>
      <w:r w:rsidRPr="006E60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Вопросы экономики</w:t>
      </w:r>
      <w:r w:rsidRPr="006E600A">
        <w:rPr>
          <w:rFonts w:ascii="Times New Roman" w:eastAsia="Times New Roman" w:hAnsi="Times New Roman" w:cs="Times New Roman"/>
          <w:sz w:val="28"/>
          <w:szCs w:val="28"/>
          <w:lang w:eastAsia="ru-RU"/>
        </w:rPr>
        <w:t>, 10, 113-133.</w:t>
      </w:r>
      <w:r w:rsidRPr="0026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00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E60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</w:t>
      </w:r>
      <w:r w:rsidRPr="0026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0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2636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E60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3739CC1" w14:textId="4B298552" w:rsidR="006E600A" w:rsidRPr="002636B5" w:rsidRDefault="006E600A" w:rsidP="006E600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Цветкова А. Н. (2021). Динамика технической эффективности российских предприятий в 2013–2018 годах. </w:t>
      </w:r>
      <w:r w:rsidRPr="006E60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Прикладная эконометрика</w:t>
      </w:r>
      <w:r w:rsidRPr="006E600A">
        <w:rPr>
          <w:rFonts w:ascii="Times New Roman" w:eastAsia="Times New Roman" w:hAnsi="Times New Roman" w:cs="Times New Roman"/>
          <w:sz w:val="28"/>
          <w:szCs w:val="28"/>
          <w:lang w:eastAsia="ru-RU"/>
        </w:rPr>
        <w:t>, 63, 91-116.</w:t>
      </w:r>
      <w:r w:rsidRPr="0026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00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E60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</w:t>
      </w:r>
      <w:r w:rsidRPr="0026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0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2636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E60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1DCFFF4" w14:textId="7CDD8460" w:rsidR="006E600A" w:rsidRPr="002636B5" w:rsidRDefault="006E600A" w:rsidP="006E600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Бессонова Е.В., Попова С.В., Турдыева Н.А., Цветкова А.Н. (2021). Производительность и кредитование в период пандемии. </w:t>
      </w:r>
      <w:r w:rsidRPr="006E60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Вопросы экономики</w:t>
      </w:r>
      <w:r w:rsidRPr="006E600A">
        <w:rPr>
          <w:rFonts w:ascii="Times New Roman" w:eastAsia="Times New Roman" w:hAnsi="Times New Roman" w:cs="Times New Roman"/>
          <w:sz w:val="28"/>
          <w:szCs w:val="28"/>
          <w:lang w:eastAsia="ru-RU"/>
        </w:rPr>
        <w:t>, 7, 123-141.</w:t>
      </w:r>
      <w:r w:rsidRPr="0026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00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E60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</w:t>
      </w:r>
      <w:r w:rsidRPr="0026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0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2636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E60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06178DF" w14:textId="36BD9922" w:rsidR="006E600A" w:rsidRPr="002636B5" w:rsidRDefault="006E600A" w:rsidP="006E600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Бессонова Е. В.,</w:t>
      </w:r>
      <w:r w:rsidRPr="006E60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E6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Цветкова А. Н. (2020). Рост производительности и выход неэффективных предприятий с рынков. </w:t>
      </w:r>
      <w:r w:rsidRPr="006E60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Журнал Новой экономической ассоциации</w:t>
      </w:r>
      <w:r w:rsidRPr="006E600A">
        <w:rPr>
          <w:rFonts w:ascii="Times New Roman" w:eastAsia="Times New Roman" w:hAnsi="Times New Roman" w:cs="Times New Roman"/>
          <w:sz w:val="28"/>
          <w:szCs w:val="28"/>
          <w:lang w:eastAsia="ru-RU"/>
        </w:rPr>
        <w:t>, 4 (48), 185-196.</w:t>
      </w:r>
      <w:r w:rsidRPr="0026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00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E60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</w:t>
      </w:r>
      <w:r w:rsidRPr="0026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0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2636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E60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12EECC6" w14:textId="0816084E" w:rsidR="006E600A" w:rsidRPr="006E600A" w:rsidRDefault="006E600A" w:rsidP="006E600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Бессонова Е.В., Морозов А.Г., Турдыева Н.А., Цветкова А.Н. (2020). Возможности ускорения роста производительности труда: роль малых и средних предприятий. </w:t>
      </w:r>
      <w:r w:rsidRPr="006E60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Вопросы экономики</w:t>
      </w:r>
      <w:r w:rsidRPr="006E600A">
        <w:rPr>
          <w:rFonts w:ascii="Times New Roman" w:eastAsia="Times New Roman" w:hAnsi="Times New Roman" w:cs="Times New Roman"/>
          <w:sz w:val="28"/>
          <w:szCs w:val="28"/>
          <w:lang w:eastAsia="ru-RU"/>
        </w:rPr>
        <w:t>, 3, 98-114. (</w:t>
      </w:r>
      <w:r w:rsidRPr="006E60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</w:t>
      </w:r>
      <w:r w:rsidRPr="0026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0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2636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E60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2183D7A" w14:textId="77777777" w:rsidR="00C75A2A" w:rsidRPr="00C75A2A" w:rsidRDefault="00C75A2A" w:rsidP="00734A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1BFBA49" w14:textId="77777777" w:rsidR="00D35637" w:rsidRDefault="00D3563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20382834" w14:textId="303C3B67" w:rsidR="00D55CD5" w:rsidRDefault="00D55CD5" w:rsidP="00734A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Список литературы</w:t>
      </w:r>
    </w:p>
    <w:p w14:paraId="71E0354D" w14:textId="77777777" w:rsidR="00D55CD5" w:rsidRPr="00D55CD5" w:rsidRDefault="00D55CD5" w:rsidP="00D55CD5">
      <w:pPr>
        <w:pStyle w:val="a6"/>
        <w:spacing w:after="120"/>
        <w:jc w:val="both"/>
        <w:rPr>
          <w:sz w:val="28"/>
          <w:szCs w:val="28"/>
        </w:rPr>
      </w:pPr>
      <w:r w:rsidRPr="00D03CCC">
        <w:rPr>
          <w:sz w:val="28"/>
          <w:szCs w:val="28"/>
        </w:rPr>
        <w:t xml:space="preserve">Бессонова Е. (2018). Анализ динамики совокупной производительности факторов на российских предприятиях (2009–2015 гг.). </w:t>
      </w:r>
      <w:r w:rsidRPr="00D55CD5">
        <w:rPr>
          <w:i/>
          <w:iCs/>
          <w:sz w:val="28"/>
          <w:szCs w:val="28"/>
        </w:rPr>
        <w:t>Вопросы экономики</w:t>
      </w:r>
      <w:r w:rsidRPr="00D55CD5">
        <w:rPr>
          <w:sz w:val="28"/>
          <w:szCs w:val="28"/>
        </w:rPr>
        <w:t>, 7, 96–118.</w:t>
      </w:r>
    </w:p>
    <w:p w14:paraId="4169B106" w14:textId="77777777" w:rsidR="00D55CD5" w:rsidRPr="00D03CCC" w:rsidRDefault="00D55CD5" w:rsidP="00D55CD5">
      <w:pPr>
        <w:pStyle w:val="a6"/>
        <w:spacing w:after="120"/>
        <w:jc w:val="both"/>
        <w:rPr>
          <w:sz w:val="28"/>
          <w:szCs w:val="28"/>
        </w:rPr>
      </w:pPr>
      <w:r w:rsidRPr="00292E7B">
        <w:rPr>
          <w:sz w:val="28"/>
          <w:szCs w:val="28"/>
        </w:rPr>
        <w:t>Бессонова Е.В., Морозов А.Г., Турдыева Н.А., Цветкова А.Н. (2020). Возможности ускорения роста производительности труда: роль малых и средних</w:t>
      </w:r>
      <w:r w:rsidRPr="000D37BB">
        <w:rPr>
          <w:sz w:val="28"/>
          <w:szCs w:val="28"/>
        </w:rPr>
        <w:t xml:space="preserve"> </w:t>
      </w:r>
      <w:r w:rsidRPr="00292E7B">
        <w:rPr>
          <w:sz w:val="28"/>
          <w:szCs w:val="28"/>
        </w:rPr>
        <w:t>предприятий.</w:t>
      </w:r>
      <w:r w:rsidRPr="000D37BB">
        <w:rPr>
          <w:sz w:val="28"/>
          <w:szCs w:val="28"/>
        </w:rPr>
        <w:t xml:space="preserve"> </w:t>
      </w:r>
      <w:r w:rsidRPr="00292E7B">
        <w:rPr>
          <w:i/>
          <w:iCs/>
          <w:sz w:val="28"/>
          <w:szCs w:val="28"/>
        </w:rPr>
        <w:t>Вопросы</w:t>
      </w:r>
      <w:r w:rsidRPr="00D55CD5">
        <w:rPr>
          <w:i/>
          <w:iCs/>
          <w:sz w:val="28"/>
          <w:szCs w:val="28"/>
        </w:rPr>
        <w:t xml:space="preserve"> </w:t>
      </w:r>
      <w:r w:rsidRPr="00292E7B">
        <w:rPr>
          <w:i/>
          <w:iCs/>
          <w:sz w:val="28"/>
          <w:szCs w:val="28"/>
        </w:rPr>
        <w:t>экономики</w:t>
      </w:r>
      <w:r w:rsidRPr="000D37BB">
        <w:rPr>
          <w:sz w:val="28"/>
          <w:szCs w:val="28"/>
        </w:rPr>
        <w:t xml:space="preserve">, </w:t>
      </w:r>
      <w:r w:rsidRPr="00292E7B">
        <w:rPr>
          <w:sz w:val="28"/>
          <w:szCs w:val="28"/>
        </w:rPr>
        <w:t>3,</w:t>
      </w:r>
      <w:r w:rsidRPr="000D37BB">
        <w:rPr>
          <w:sz w:val="28"/>
          <w:szCs w:val="28"/>
        </w:rPr>
        <w:t xml:space="preserve"> </w:t>
      </w:r>
      <w:r w:rsidRPr="00292E7B">
        <w:rPr>
          <w:sz w:val="28"/>
          <w:szCs w:val="28"/>
        </w:rPr>
        <w:t>98-114.</w:t>
      </w:r>
    </w:p>
    <w:p w14:paraId="0EB91C4F" w14:textId="69148206" w:rsidR="00D55CD5" w:rsidRPr="00D03CCC" w:rsidRDefault="00D55CD5" w:rsidP="00D55CD5">
      <w:pPr>
        <w:pStyle w:val="a6"/>
        <w:spacing w:after="120"/>
        <w:jc w:val="both"/>
        <w:rPr>
          <w:sz w:val="28"/>
          <w:szCs w:val="28"/>
        </w:rPr>
      </w:pPr>
      <w:r w:rsidRPr="00292E7B">
        <w:rPr>
          <w:sz w:val="28"/>
          <w:szCs w:val="28"/>
        </w:rPr>
        <w:t>Бессонова Е.В., Мякишева С.М., Цветкова А.Н. (2021). Кто выходит с рынка в период пандемии</w:t>
      </w:r>
      <w:r>
        <w:rPr>
          <w:sz w:val="28"/>
          <w:szCs w:val="28"/>
        </w:rPr>
        <w:t>.</w:t>
      </w:r>
      <w:r w:rsidRPr="00292E7B">
        <w:rPr>
          <w:sz w:val="28"/>
          <w:szCs w:val="28"/>
        </w:rPr>
        <w:t> </w:t>
      </w:r>
      <w:r w:rsidRPr="00292E7B">
        <w:rPr>
          <w:i/>
          <w:iCs/>
          <w:sz w:val="28"/>
          <w:szCs w:val="28"/>
        </w:rPr>
        <w:t>Вопросы экономики</w:t>
      </w:r>
      <w:r w:rsidRPr="00292E7B">
        <w:rPr>
          <w:sz w:val="28"/>
          <w:szCs w:val="28"/>
        </w:rPr>
        <w:t>, 10, 113-133.</w:t>
      </w:r>
    </w:p>
    <w:p w14:paraId="6E7FB01A" w14:textId="77777777" w:rsidR="00D55CD5" w:rsidRPr="00D03CCC" w:rsidRDefault="00D55CD5" w:rsidP="00D55CD5">
      <w:pPr>
        <w:pStyle w:val="a6"/>
        <w:spacing w:after="120"/>
        <w:jc w:val="both"/>
        <w:rPr>
          <w:sz w:val="28"/>
          <w:szCs w:val="28"/>
        </w:rPr>
      </w:pPr>
      <w:r w:rsidRPr="00292E7B">
        <w:rPr>
          <w:sz w:val="28"/>
          <w:szCs w:val="28"/>
        </w:rPr>
        <w:t xml:space="preserve">Бессонова Е.В., Попова С.В., Турдыева Н.А., Цветкова А.Н. (2021). Производительность и кредитование в период пандемии. </w:t>
      </w:r>
      <w:r w:rsidRPr="00292E7B">
        <w:rPr>
          <w:i/>
          <w:iCs/>
          <w:sz w:val="28"/>
          <w:szCs w:val="28"/>
        </w:rPr>
        <w:t>Вопросы экономики</w:t>
      </w:r>
      <w:r w:rsidRPr="00292E7B">
        <w:rPr>
          <w:sz w:val="28"/>
          <w:szCs w:val="28"/>
        </w:rPr>
        <w:t>, 7, 123-141.</w:t>
      </w:r>
    </w:p>
    <w:p w14:paraId="3393D87F" w14:textId="533CC04F" w:rsidR="00D55CD5" w:rsidRPr="00D55CD5" w:rsidRDefault="00D55CD5" w:rsidP="00D55CD5">
      <w:pPr>
        <w:pStyle w:val="a6"/>
        <w:spacing w:after="120"/>
        <w:jc w:val="both"/>
        <w:rPr>
          <w:sz w:val="28"/>
          <w:szCs w:val="28"/>
        </w:rPr>
      </w:pPr>
      <w:r w:rsidRPr="00292E7B">
        <w:rPr>
          <w:sz w:val="28"/>
          <w:szCs w:val="28"/>
        </w:rPr>
        <w:t>Бессонова Е. В.,</w:t>
      </w:r>
      <w:r w:rsidRPr="00292E7B">
        <w:rPr>
          <w:sz w:val="28"/>
          <w:szCs w:val="28"/>
          <w:lang w:val="en-US"/>
        </w:rPr>
        <w:t> </w:t>
      </w:r>
      <w:r w:rsidRPr="00292E7B">
        <w:rPr>
          <w:sz w:val="28"/>
          <w:szCs w:val="28"/>
        </w:rPr>
        <w:t xml:space="preserve">Цветкова А. Н. (2020). Рост производительности и выход неэффективных предприятий с рынков. </w:t>
      </w:r>
      <w:r w:rsidRPr="00292E7B">
        <w:rPr>
          <w:i/>
          <w:iCs/>
          <w:sz w:val="28"/>
          <w:szCs w:val="28"/>
        </w:rPr>
        <w:t>Журнал Новой экономической ассоциации</w:t>
      </w:r>
      <w:r>
        <w:rPr>
          <w:sz w:val="28"/>
          <w:szCs w:val="28"/>
        </w:rPr>
        <w:t>,</w:t>
      </w:r>
      <w:r w:rsidRPr="00292E7B">
        <w:rPr>
          <w:sz w:val="28"/>
          <w:szCs w:val="28"/>
        </w:rPr>
        <w:t xml:space="preserve"> 4</w:t>
      </w:r>
      <w:r w:rsidR="00E73C7E">
        <w:rPr>
          <w:sz w:val="28"/>
          <w:szCs w:val="28"/>
        </w:rPr>
        <w:t xml:space="preserve"> </w:t>
      </w:r>
      <w:r w:rsidRPr="00292E7B">
        <w:rPr>
          <w:sz w:val="28"/>
          <w:szCs w:val="28"/>
        </w:rPr>
        <w:t>(48), 185-196.</w:t>
      </w:r>
    </w:p>
    <w:p w14:paraId="49E54E23" w14:textId="77777777" w:rsidR="00D55CD5" w:rsidRPr="00D03CCC" w:rsidRDefault="00D55CD5" w:rsidP="00D55CD5">
      <w:pPr>
        <w:pStyle w:val="a6"/>
        <w:spacing w:after="120"/>
        <w:jc w:val="both"/>
        <w:rPr>
          <w:sz w:val="28"/>
          <w:szCs w:val="28"/>
        </w:rPr>
      </w:pPr>
      <w:r w:rsidRPr="00D03CCC">
        <w:rPr>
          <w:sz w:val="28"/>
          <w:szCs w:val="28"/>
        </w:rPr>
        <w:t xml:space="preserve">Ипатова И. Б. (2015). Динамика совокупной факторной производительности и ее компонентов на примере российской отрасли, производящей пластмассовые изделия. </w:t>
      </w:r>
      <w:r w:rsidRPr="00E73C7E">
        <w:rPr>
          <w:i/>
          <w:iCs/>
          <w:sz w:val="28"/>
          <w:szCs w:val="28"/>
        </w:rPr>
        <w:t>Прикладная эконометрика</w:t>
      </w:r>
      <w:r w:rsidRPr="00D03CCC">
        <w:rPr>
          <w:sz w:val="28"/>
          <w:szCs w:val="28"/>
        </w:rPr>
        <w:t>, 38, 21–40.</w:t>
      </w:r>
    </w:p>
    <w:p w14:paraId="7CF371EC" w14:textId="77777777" w:rsidR="00D55CD5" w:rsidRPr="006634B9" w:rsidRDefault="00D55CD5" w:rsidP="00D35637">
      <w:pPr>
        <w:pStyle w:val="a6"/>
        <w:keepLines/>
        <w:spacing w:after="120"/>
        <w:jc w:val="both"/>
        <w:rPr>
          <w:sz w:val="28"/>
          <w:szCs w:val="28"/>
        </w:rPr>
      </w:pPr>
      <w:r w:rsidRPr="006634B9">
        <w:rPr>
          <w:sz w:val="28"/>
          <w:szCs w:val="28"/>
        </w:rPr>
        <w:t xml:space="preserve">Ипатова И. Б., Пересецкий А. А. (2013). Техническая эффективность предприятий отрасли производства резиновых и пластмассовых изделий. </w:t>
      </w:r>
      <w:r w:rsidRPr="006634B9">
        <w:rPr>
          <w:i/>
          <w:iCs/>
          <w:sz w:val="28"/>
          <w:szCs w:val="28"/>
        </w:rPr>
        <w:t>Прикладная эконометрика</w:t>
      </w:r>
      <w:r w:rsidRPr="006634B9">
        <w:rPr>
          <w:sz w:val="28"/>
          <w:szCs w:val="28"/>
        </w:rPr>
        <w:t>, 32, 71–92.</w:t>
      </w:r>
    </w:p>
    <w:p w14:paraId="22666971" w14:textId="77777777" w:rsidR="00D55CD5" w:rsidRPr="00D55CD5" w:rsidRDefault="00D55CD5" w:rsidP="00D55CD5">
      <w:pPr>
        <w:pStyle w:val="a6"/>
        <w:spacing w:after="120"/>
        <w:jc w:val="both"/>
        <w:rPr>
          <w:sz w:val="28"/>
          <w:szCs w:val="28"/>
        </w:rPr>
      </w:pPr>
      <w:r w:rsidRPr="00D03CCC">
        <w:rPr>
          <w:sz w:val="28"/>
          <w:szCs w:val="28"/>
        </w:rPr>
        <w:t xml:space="preserve">Краснопеева Н. А., Назруллаева Е. Ю., Пересецкий А. А., Щетинин Е. И. (2016). Экспортировать или нет? Экспортный статус и техническая эффективность российских предприятий. </w:t>
      </w:r>
      <w:r w:rsidRPr="00E73C7E">
        <w:rPr>
          <w:i/>
          <w:iCs/>
          <w:sz w:val="28"/>
          <w:szCs w:val="28"/>
        </w:rPr>
        <w:t>Вопросы экономики</w:t>
      </w:r>
      <w:r w:rsidRPr="00D03CCC">
        <w:rPr>
          <w:sz w:val="28"/>
          <w:szCs w:val="28"/>
        </w:rPr>
        <w:t>, 7, 123–146.</w:t>
      </w:r>
    </w:p>
    <w:p w14:paraId="4DE7CD85" w14:textId="77777777" w:rsidR="00D55CD5" w:rsidRPr="00D55CD5" w:rsidRDefault="00D55CD5" w:rsidP="00D55CD5">
      <w:pPr>
        <w:pStyle w:val="a6"/>
        <w:spacing w:after="120"/>
        <w:jc w:val="both"/>
        <w:rPr>
          <w:sz w:val="28"/>
          <w:szCs w:val="28"/>
        </w:rPr>
      </w:pPr>
      <w:r w:rsidRPr="00292E7B">
        <w:rPr>
          <w:sz w:val="28"/>
          <w:szCs w:val="28"/>
        </w:rPr>
        <w:t xml:space="preserve">Цветкова А. Н. (2021). Динамика технической эффективности российских предприятий в 2013–2018 годах. </w:t>
      </w:r>
      <w:r w:rsidRPr="00292E7B">
        <w:rPr>
          <w:i/>
          <w:iCs/>
          <w:sz w:val="28"/>
          <w:szCs w:val="28"/>
        </w:rPr>
        <w:t>Прикладная эконометрика</w:t>
      </w:r>
      <w:r w:rsidRPr="00292E7B">
        <w:rPr>
          <w:sz w:val="28"/>
          <w:szCs w:val="28"/>
        </w:rPr>
        <w:t>, 63, 91-116.</w:t>
      </w:r>
    </w:p>
    <w:p w14:paraId="50C44D5E" w14:textId="77777777" w:rsidR="00D55CD5" w:rsidRPr="006634B9" w:rsidRDefault="00D55CD5" w:rsidP="00D55CD5">
      <w:pPr>
        <w:pStyle w:val="a6"/>
        <w:spacing w:after="120"/>
        <w:jc w:val="both"/>
        <w:rPr>
          <w:sz w:val="28"/>
          <w:szCs w:val="28"/>
        </w:rPr>
      </w:pPr>
      <w:r w:rsidRPr="006634B9">
        <w:rPr>
          <w:sz w:val="28"/>
          <w:szCs w:val="28"/>
        </w:rPr>
        <w:t xml:space="preserve">Щетинин Е. И., Назруллаева Е. Ю. (2012). Производственный процесс в пищевой промышленности: взаимосвязь инвестиций в основной капитал и технической эффективности. </w:t>
      </w:r>
      <w:r w:rsidRPr="006634B9">
        <w:rPr>
          <w:i/>
          <w:iCs/>
          <w:sz w:val="28"/>
          <w:szCs w:val="28"/>
        </w:rPr>
        <w:t>Прикладная эконометрика</w:t>
      </w:r>
      <w:r w:rsidRPr="006634B9">
        <w:rPr>
          <w:sz w:val="28"/>
          <w:szCs w:val="28"/>
        </w:rPr>
        <w:t>, 28, 63-84.</w:t>
      </w:r>
    </w:p>
    <w:p w14:paraId="15D8F820" w14:textId="39723772" w:rsidR="00D55CD5" w:rsidRPr="00D03CCC" w:rsidRDefault="00D55CD5" w:rsidP="00D55CD5">
      <w:pPr>
        <w:pStyle w:val="a6"/>
        <w:spacing w:after="120"/>
        <w:jc w:val="both"/>
        <w:rPr>
          <w:sz w:val="28"/>
          <w:szCs w:val="28"/>
          <w:lang w:val="en-US"/>
        </w:rPr>
      </w:pPr>
      <w:r w:rsidRPr="00D03CCC">
        <w:rPr>
          <w:sz w:val="28"/>
          <w:szCs w:val="28"/>
          <w:lang w:val="en-US"/>
        </w:rPr>
        <w:t>Abreu</w:t>
      </w:r>
      <w:r w:rsidRPr="002636B5">
        <w:rPr>
          <w:sz w:val="28"/>
          <w:szCs w:val="28"/>
        </w:rPr>
        <w:t xml:space="preserve"> </w:t>
      </w:r>
      <w:r w:rsidRPr="00D03CCC">
        <w:rPr>
          <w:sz w:val="28"/>
          <w:szCs w:val="28"/>
          <w:lang w:val="en-US"/>
        </w:rPr>
        <w:t>M</w:t>
      </w:r>
      <w:r w:rsidRPr="002636B5">
        <w:rPr>
          <w:sz w:val="28"/>
          <w:szCs w:val="28"/>
        </w:rPr>
        <w:t xml:space="preserve">., </w:t>
      </w:r>
      <w:r w:rsidRPr="00D03CCC">
        <w:rPr>
          <w:sz w:val="28"/>
          <w:szCs w:val="28"/>
          <w:lang w:val="en-US"/>
        </w:rPr>
        <w:t>De</w:t>
      </w:r>
      <w:r w:rsidRPr="002636B5">
        <w:rPr>
          <w:sz w:val="28"/>
          <w:szCs w:val="28"/>
        </w:rPr>
        <w:t xml:space="preserve"> </w:t>
      </w:r>
      <w:r w:rsidRPr="00D03CCC">
        <w:rPr>
          <w:sz w:val="28"/>
          <w:szCs w:val="28"/>
          <w:lang w:val="en-US"/>
        </w:rPr>
        <w:t>Groot</w:t>
      </w:r>
      <w:r w:rsidRPr="002636B5">
        <w:rPr>
          <w:sz w:val="28"/>
          <w:szCs w:val="28"/>
        </w:rPr>
        <w:t xml:space="preserve"> </w:t>
      </w:r>
      <w:r w:rsidRPr="00D03CCC">
        <w:rPr>
          <w:sz w:val="28"/>
          <w:szCs w:val="28"/>
          <w:lang w:val="en-US"/>
        </w:rPr>
        <w:t>H</w:t>
      </w:r>
      <w:r w:rsidRPr="002636B5">
        <w:rPr>
          <w:sz w:val="28"/>
          <w:szCs w:val="28"/>
        </w:rPr>
        <w:t xml:space="preserve">. </w:t>
      </w:r>
      <w:r w:rsidRPr="00D03CCC">
        <w:rPr>
          <w:sz w:val="28"/>
          <w:szCs w:val="28"/>
          <w:lang w:val="en-US"/>
        </w:rPr>
        <w:t>L</w:t>
      </w:r>
      <w:r w:rsidRPr="002636B5">
        <w:rPr>
          <w:sz w:val="28"/>
          <w:szCs w:val="28"/>
        </w:rPr>
        <w:t xml:space="preserve">., </w:t>
      </w:r>
      <w:r w:rsidRPr="00D03CCC">
        <w:rPr>
          <w:sz w:val="28"/>
          <w:szCs w:val="28"/>
          <w:lang w:val="en-US"/>
        </w:rPr>
        <w:t>Florax</w:t>
      </w:r>
      <w:r w:rsidRPr="002636B5">
        <w:rPr>
          <w:sz w:val="28"/>
          <w:szCs w:val="28"/>
        </w:rPr>
        <w:t xml:space="preserve"> </w:t>
      </w:r>
      <w:r w:rsidRPr="00D03CCC">
        <w:rPr>
          <w:sz w:val="28"/>
          <w:szCs w:val="28"/>
          <w:lang w:val="en-US"/>
        </w:rPr>
        <w:t>R</w:t>
      </w:r>
      <w:r w:rsidRPr="002636B5">
        <w:rPr>
          <w:sz w:val="28"/>
          <w:szCs w:val="28"/>
        </w:rPr>
        <w:t xml:space="preserve">. </w:t>
      </w:r>
      <w:r w:rsidRPr="00D03CCC">
        <w:rPr>
          <w:sz w:val="28"/>
          <w:szCs w:val="28"/>
          <w:lang w:val="en-US"/>
        </w:rPr>
        <w:t>J</w:t>
      </w:r>
      <w:r w:rsidRPr="002636B5">
        <w:rPr>
          <w:sz w:val="28"/>
          <w:szCs w:val="28"/>
        </w:rPr>
        <w:t xml:space="preserve">. (2005). </w:t>
      </w:r>
      <w:r w:rsidRPr="00D03CCC">
        <w:rPr>
          <w:sz w:val="28"/>
          <w:szCs w:val="28"/>
          <w:lang w:val="en-US"/>
        </w:rPr>
        <w:t xml:space="preserve">A meta‐analysis of </w:t>
      </w:r>
      <w:r w:rsidRPr="00D03CCC">
        <w:rPr>
          <w:sz w:val="28"/>
          <w:szCs w:val="28"/>
        </w:rPr>
        <w:t>β</w:t>
      </w:r>
      <w:r w:rsidRPr="00D03CCC">
        <w:rPr>
          <w:sz w:val="28"/>
          <w:szCs w:val="28"/>
          <w:lang w:val="en-US"/>
        </w:rPr>
        <w:t xml:space="preserve">‐convergence: The legendary 2%. </w:t>
      </w:r>
      <w:r w:rsidRPr="00E73C7E">
        <w:rPr>
          <w:i/>
          <w:iCs/>
          <w:sz w:val="28"/>
          <w:szCs w:val="28"/>
          <w:lang w:val="en-US"/>
        </w:rPr>
        <w:t>Journal of Economic Surveys</w:t>
      </w:r>
      <w:r w:rsidRPr="00D03CCC">
        <w:rPr>
          <w:sz w:val="28"/>
          <w:szCs w:val="28"/>
          <w:lang w:val="en-US"/>
        </w:rPr>
        <w:t>, 19</w:t>
      </w:r>
      <w:r w:rsidR="00E73C7E" w:rsidRPr="002636B5">
        <w:rPr>
          <w:sz w:val="28"/>
          <w:szCs w:val="28"/>
          <w:lang w:val="en-US"/>
        </w:rPr>
        <w:t xml:space="preserve"> </w:t>
      </w:r>
      <w:r w:rsidRPr="00D03CCC">
        <w:rPr>
          <w:sz w:val="28"/>
          <w:szCs w:val="28"/>
          <w:lang w:val="en-US"/>
        </w:rPr>
        <w:t>(3), 389-420.</w:t>
      </w:r>
    </w:p>
    <w:p w14:paraId="3FB3A975" w14:textId="6DC5E53B" w:rsidR="00D55CD5" w:rsidRPr="00D03CCC" w:rsidRDefault="00D55CD5" w:rsidP="00D55CD5">
      <w:pPr>
        <w:pStyle w:val="a6"/>
        <w:spacing w:after="120"/>
        <w:jc w:val="both"/>
        <w:rPr>
          <w:sz w:val="28"/>
          <w:szCs w:val="28"/>
          <w:lang w:val="en-US"/>
        </w:rPr>
      </w:pPr>
      <w:r w:rsidRPr="00D03CCC">
        <w:rPr>
          <w:sz w:val="28"/>
          <w:szCs w:val="28"/>
          <w:lang w:val="en-US"/>
        </w:rPr>
        <w:t xml:space="preserve">Acemoglu D., Johnson S., Robinson J. A. (2001). The colonial origins of comparative development: An empirical investigation. </w:t>
      </w:r>
      <w:r w:rsidRPr="00E73C7E">
        <w:rPr>
          <w:i/>
          <w:iCs/>
          <w:sz w:val="28"/>
          <w:szCs w:val="28"/>
          <w:lang w:val="en-US"/>
        </w:rPr>
        <w:t>American economic review</w:t>
      </w:r>
      <w:r w:rsidRPr="00D03CCC">
        <w:rPr>
          <w:sz w:val="28"/>
          <w:szCs w:val="28"/>
          <w:lang w:val="en-US"/>
        </w:rPr>
        <w:t>, 91</w:t>
      </w:r>
      <w:r w:rsidR="00E73C7E" w:rsidRPr="002636B5">
        <w:rPr>
          <w:sz w:val="28"/>
          <w:szCs w:val="28"/>
          <w:lang w:val="en-US"/>
        </w:rPr>
        <w:t xml:space="preserve"> </w:t>
      </w:r>
      <w:r w:rsidRPr="00D03CCC">
        <w:rPr>
          <w:sz w:val="28"/>
          <w:szCs w:val="28"/>
          <w:lang w:val="en-US"/>
        </w:rPr>
        <w:t>(5), 1369-1401.</w:t>
      </w:r>
    </w:p>
    <w:p w14:paraId="6A78D26E" w14:textId="5BF7F9F3" w:rsidR="00D55CD5" w:rsidRPr="006634B9" w:rsidRDefault="00D55CD5" w:rsidP="00D55CD5">
      <w:pPr>
        <w:pStyle w:val="a6"/>
        <w:spacing w:after="120"/>
        <w:jc w:val="both"/>
        <w:rPr>
          <w:sz w:val="28"/>
          <w:szCs w:val="28"/>
          <w:lang w:val="en-US"/>
        </w:rPr>
      </w:pPr>
      <w:r w:rsidRPr="006634B9">
        <w:rPr>
          <w:sz w:val="28"/>
          <w:szCs w:val="28"/>
          <w:lang w:val="en-US"/>
        </w:rPr>
        <w:t xml:space="preserve">Aghion P., Blundell R., Griffith R., Howitt P., Prantl S. (2009). The effects of entry on incumbent innovation and productivity. </w:t>
      </w:r>
      <w:r w:rsidRPr="006634B9">
        <w:rPr>
          <w:i/>
          <w:iCs/>
          <w:sz w:val="28"/>
          <w:szCs w:val="28"/>
          <w:lang w:val="en-US"/>
        </w:rPr>
        <w:t>The Review of Economics and Statistics</w:t>
      </w:r>
      <w:r w:rsidRPr="006634B9">
        <w:rPr>
          <w:sz w:val="28"/>
          <w:szCs w:val="28"/>
          <w:lang w:val="en-US"/>
        </w:rPr>
        <w:t>, 91</w:t>
      </w:r>
      <w:r w:rsidR="00E73C7E" w:rsidRPr="002636B5">
        <w:rPr>
          <w:sz w:val="28"/>
          <w:szCs w:val="28"/>
          <w:lang w:val="en-US"/>
        </w:rPr>
        <w:t xml:space="preserve"> </w:t>
      </w:r>
      <w:r w:rsidRPr="006634B9">
        <w:rPr>
          <w:sz w:val="28"/>
          <w:szCs w:val="28"/>
          <w:lang w:val="en-US"/>
        </w:rPr>
        <w:t>(1), 20-32.</w:t>
      </w:r>
    </w:p>
    <w:p w14:paraId="382DB980" w14:textId="63EDEB8C" w:rsidR="00D55CD5" w:rsidRPr="00D03CCC" w:rsidRDefault="00D55CD5" w:rsidP="00D35637">
      <w:pPr>
        <w:pStyle w:val="a6"/>
        <w:keepLines/>
        <w:spacing w:after="120"/>
        <w:jc w:val="both"/>
        <w:rPr>
          <w:sz w:val="28"/>
          <w:szCs w:val="28"/>
          <w:lang w:val="en-US"/>
        </w:rPr>
      </w:pPr>
      <w:r w:rsidRPr="00D03CCC">
        <w:rPr>
          <w:sz w:val="28"/>
          <w:szCs w:val="28"/>
          <w:lang w:val="en-US"/>
        </w:rPr>
        <w:lastRenderedPageBreak/>
        <w:t xml:space="preserve">Aghion P., Bergeaud A., Cette G., Lecat R., Maghin, H. (2019). The Inverted‐U Relationship Between Credit Access and Productivity Growth. </w:t>
      </w:r>
      <w:r w:rsidRPr="00E73C7E">
        <w:rPr>
          <w:i/>
          <w:iCs/>
          <w:sz w:val="28"/>
          <w:szCs w:val="28"/>
          <w:lang w:val="en-US"/>
        </w:rPr>
        <w:t>Economica</w:t>
      </w:r>
      <w:r w:rsidRPr="00D03CCC">
        <w:rPr>
          <w:sz w:val="28"/>
          <w:szCs w:val="28"/>
          <w:lang w:val="en-US"/>
        </w:rPr>
        <w:t>, 86</w:t>
      </w:r>
      <w:r w:rsidR="00E73C7E" w:rsidRPr="002636B5">
        <w:rPr>
          <w:sz w:val="28"/>
          <w:szCs w:val="28"/>
          <w:lang w:val="en-US"/>
        </w:rPr>
        <w:t xml:space="preserve"> (341)</w:t>
      </w:r>
      <w:r w:rsidRPr="00D03CCC">
        <w:rPr>
          <w:sz w:val="28"/>
          <w:szCs w:val="28"/>
          <w:lang w:val="en-US"/>
        </w:rPr>
        <w:t>, 1-31.</w:t>
      </w:r>
    </w:p>
    <w:p w14:paraId="4D3240C9" w14:textId="77777777" w:rsidR="00D55CD5" w:rsidRPr="00D03CCC" w:rsidRDefault="00D55CD5" w:rsidP="00D55CD5">
      <w:pPr>
        <w:pStyle w:val="a6"/>
        <w:spacing w:after="120"/>
        <w:jc w:val="both"/>
        <w:rPr>
          <w:sz w:val="28"/>
          <w:szCs w:val="28"/>
          <w:lang w:val="en-US"/>
        </w:rPr>
      </w:pPr>
      <w:r w:rsidRPr="00D03CCC">
        <w:rPr>
          <w:sz w:val="28"/>
          <w:szCs w:val="28"/>
          <w:lang w:val="en-US"/>
        </w:rPr>
        <w:t>Aigner D., Lovell C. K., Schmidt P. (1977). Formulation and estimation of stochastic frontier production function models. Journal of Econometrics, 6 (1), 21–37.</w:t>
      </w:r>
    </w:p>
    <w:p w14:paraId="1BEC3E55" w14:textId="15D83D18" w:rsidR="00D55CD5" w:rsidRPr="00D03CCC" w:rsidRDefault="00D55CD5" w:rsidP="00D55CD5">
      <w:pPr>
        <w:pStyle w:val="a6"/>
        <w:spacing w:after="120"/>
        <w:jc w:val="both"/>
        <w:rPr>
          <w:sz w:val="28"/>
          <w:szCs w:val="28"/>
          <w:lang w:val="en-US"/>
        </w:rPr>
      </w:pPr>
      <w:r w:rsidRPr="00D03CCC">
        <w:rPr>
          <w:sz w:val="28"/>
          <w:szCs w:val="28"/>
          <w:lang w:val="en-US"/>
        </w:rPr>
        <w:t>Akcigit U., Ates S. T. (2019)</w:t>
      </w:r>
      <w:r w:rsidR="00A636EB" w:rsidRPr="00A636EB">
        <w:rPr>
          <w:sz w:val="28"/>
          <w:szCs w:val="28"/>
          <w:lang w:val="en-US"/>
        </w:rPr>
        <w:t>.</w:t>
      </w:r>
      <w:r w:rsidRPr="00D03CCC">
        <w:rPr>
          <w:sz w:val="28"/>
          <w:szCs w:val="28"/>
          <w:lang w:val="en-US"/>
        </w:rPr>
        <w:t xml:space="preserve"> What Happened to US Business Dynamism? National Bureau of Economic Research</w:t>
      </w:r>
      <w:r w:rsidR="00A636EB" w:rsidRPr="00A636EB">
        <w:rPr>
          <w:sz w:val="28"/>
          <w:szCs w:val="28"/>
          <w:lang w:val="en-US"/>
        </w:rPr>
        <w:t xml:space="preserve"> </w:t>
      </w:r>
      <w:r w:rsidR="00A636EB">
        <w:rPr>
          <w:sz w:val="28"/>
          <w:szCs w:val="28"/>
          <w:lang w:val="en-US"/>
        </w:rPr>
        <w:t xml:space="preserve">working paper </w:t>
      </w:r>
      <w:r w:rsidR="00A636EB" w:rsidRPr="00D03CCC">
        <w:rPr>
          <w:sz w:val="28"/>
          <w:szCs w:val="28"/>
          <w:lang w:val="en-US"/>
        </w:rPr>
        <w:t>No. w25756</w:t>
      </w:r>
      <w:r w:rsidRPr="00D03CCC">
        <w:rPr>
          <w:sz w:val="28"/>
          <w:szCs w:val="28"/>
          <w:lang w:val="en-US"/>
        </w:rPr>
        <w:t>.</w:t>
      </w:r>
    </w:p>
    <w:p w14:paraId="68519FD4" w14:textId="56DD7322" w:rsidR="00A636EB" w:rsidRPr="00A636EB" w:rsidRDefault="00A636EB" w:rsidP="00A636EB">
      <w:pPr>
        <w:pStyle w:val="a6"/>
        <w:spacing w:after="120"/>
        <w:jc w:val="both"/>
        <w:rPr>
          <w:sz w:val="28"/>
          <w:szCs w:val="28"/>
          <w:lang w:val="en-US"/>
        </w:rPr>
      </w:pPr>
      <w:r w:rsidRPr="00A636EB">
        <w:rPr>
          <w:sz w:val="28"/>
          <w:szCs w:val="28"/>
          <w:lang w:val="en-US"/>
        </w:rPr>
        <w:t>Akcigit U., Alp H., Peters M. (2021)</w:t>
      </w:r>
      <w:r>
        <w:rPr>
          <w:sz w:val="28"/>
          <w:szCs w:val="28"/>
          <w:lang w:val="en-US"/>
        </w:rPr>
        <w:t>.</w:t>
      </w:r>
      <w:r w:rsidRPr="00A636EB">
        <w:rPr>
          <w:sz w:val="28"/>
          <w:szCs w:val="28"/>
          <w:lang w:val="en-US"/>
        </w:rPr>
        <w:t xml:space="preserve"> Lack of Selection and Limits to Delegation: Firm Dynamics in Developing Countries. </w:t>
      </w:r>
      <w:r w:rsidRPr="00A636EB">
        <w:rPr>
          <w:i/>
          <w:iCs/>
          <w:sz w:val="28"/>
          <w:szCs w:val="28"/>
          <w:lang w:val="en-US"/>
        </w:rPr>
        <w:t>American Economic Review</w:t>
      </w:r>
      <w:r w:rsidRPr="00A636EB">
        <w:rPr>
          <w:sz w:val="28"/>
          <w:szCs w:val="28"/>
          <w:lang w:val="en-US"/>
        </w:rPr>
        <w:t>, 111</w:t>
      </w:r>
      <w:r>
        <w:rPr>
          <w:sz w:val="28"/>
          <w:szCs w:val="28"/>
          <w:lang w:val="en-US"/>
        </w:rPr>
        <w:t xml:space="preserve"> (1)</w:t>
      </w:r>
      <w:r w:rsidRPr="00A636EB">
        <w:rPr>
          <w:sz w:val="28"/>
          <w:szCs w:val="28"/>
          <w:lang w:val="en-US"/>
        </w:rPr>
        <w:t>, 231–275</w:t>
      </w:r>
      <w:r>
        <w:rPr>
          <w:sz w:val="28"/>
          <w:szCs w:val="28"/>
          <w:lang w:val="en-US"/>
        </w:rPr>
        <w:t>.</w:t>
      </w:r>
    </w:p>
    <w:p w14:paraId="527FCFA0" w14:textId="1BF9ABF9" w:rsidR="00D55CD5" w:rsidRPr="00D03CCC" w:rsidRDefault="00D55CD5" w:rsidP="00A636EB">
      <w:pPr>
        <w:pStyle w:val="a6"/>
        <w:spacing w:after="120"/>
        <w:jc w:val="both"/>
        <w:rPr>
          <w:sz w:val="28"/>
          <w:szCs w:val="28"/>
          <w:lang w:val="en-US"/>
        </w:rPr>
      </w:pPr>
      <w:r w:rsidRPr="00D03CCC">
        <w:rPr>
          <w:sz w:val="28"/>
          <w:szCs w:val="28"/>
          <w:lang w:val="en-US"/>
        </w:rPr>
        <w:t>Andrews D., Criscuolo C., Gal P. (2016). The best versus the rest: The global productivity slowdown, divergence across f</w:t>
      </w:r>
      <w:r w:rsidRPr="00D03CCC">
        <w:rPr>
          <w:sz w:val="28"/>
          <w:szCs w:val="28"/>
        </w:rPr>
        <w:t>ш</w:t>
      </w:r>
      <w:r w:rsidRPr="00D03CCC">
        <w:rPr>
          <w:sz w:val="28"/>
          <w:szCs w:val="28"/>
          <w:lang w:val="en-US"/>
        </w:rPr>
        <w:t>rms and the role of public policy. OECD Productivity Working Papers, 5, 1-50.</w:t>
      </w:r>
    </w:p>
    <w:p w14:paraId="0C4D16B4" w14:textId="419FFB4F" w:rsidR="00D55CD5" w:rsidRPr="00D03CCC" w:rsidRDefault="00D55CD5" w:rsidP="00D55CD5">
      <w:pPr>
        <w:pStyle w:val="a6"/>
        <w:spacing w:after="120"/>
        <w:jc w:val="both"/>
        <w:rPr>
          <w:sz w:val="28"/>
          <w:szCs w:val="28"/>
          <w:lang w:val="en-US"/>
        </w:rPr>
      </w:pPr>
      <w:r w:rsidRPr="00D03CCC">
        <w:rPr>
          <w:sz w:val="28"/>
          <w:szCs w:val="28"/>
          <w:lang w:val="en-US"/>
        </w:rPr>
        <w:t>Andrews D., Charlton A., Moore A. (2021). COVID-19, productivity and reallocation: Timely evidence from three OECD countries.</w:t>
      </w:r>
      <w:r w:rsidR="00FE2170">
        <w:rPr>
          <w:sz w:val="28"/>
          <w:szCs w:val="28"/>
          <w:lang w:val="en-US"/>
        </w:rPr>
        <w:t xml:space="preserve"> </w:t>
      </w:r>
      <w:r w:rsidR="00FE2170" w:rsidRPr="002636B5">
        <w:rPr>
          <w:color w:val="000000"/>
          <w:sz w:val="27"/>
          <w:szCs w:val="27"/>
          <w:lang w:val="en-US"/>
        </w:rPr>
        <w:t>OECD Economics Department Working Papers, No. 1676, OECD Publishing, Paris</w:t>
      </w:r>
    </w:p>
    <w:p w14:paraId="046CA83F" w14:textId="77777777" w:rsidR="00D55CD5" w:rsidRPr="00D03CCC" w:rsidRDefault="00D55CD5" w:rsidP="00D55CD5">
      <w:pPr>
        <w:pStyle w:val="a6"/>
        <w:spacing w:after="120"/>
        <w:jc w:val="both"/>
        <w:rPr>
          <w:sz w:val="28"/>
          <w:szCs w:val="28"/>
          <w:lang w:val="en-US"/>
        </w:rPr>
      </w:pPr>
      <w:r w:rsidRPr="00D03CCC">
        <w:rPr>
          <w:sz w:val="28"/>
          <w:szCs w:val="28"/>
          <w:lang w:val="en-US"/>
        </w:rPr>
        <w:t>Bahar, D. (2018). The middle productivity trap: Dynamics of productivity dispersion. Economics Letters, 167, 60-66.</w:t>
      </w:r>
    </w:p>
    <w:p w14:paraId="577F3CD8" w14:textId="228DC835" w:rsidR="00D55CD5" w:rsidRPr="00D03CCC" w:rsidRDefault="00D55CD5" w:rsidP="00D55CD5">
      <w:pPr>
        <w:pStyle w:val="a6"/>
        <w:spacing w:after="120"/>
        <w:jc w:val="both"/>
        <w:rPr>
          <w:sz w:val="28"/>
          <w:szCs w:val="28"/>
          <w:lang w:val="en-US"/>
        </w:rPr>
      </w:pPr>
      <w:r w:rsidRPr="00D03CCC">
        <w:rPr>
          <w:sz w:val="28"/>
          <w:szCs w:val="28"/>
          <w:lang w:val="en-US"/>
        </w:rPr>
        <w:t xml:space="preserve">Bartelsman E., Haltiwanger J., Scarpetta S. (2013). Cross-country differences in productivity: The role of allocation and selection. </w:t>
      </w:r>
      <w:r w:rsidRPr="00FE2170">
        <w:rPr>
          <w:i/>
          <w:iCs/>
          <w:sz w:val="28"/>
          <w:szCs w:val="28"/>
          <w:lang w:val="en-US"/>
        </w:rPr>
        <w:t>American Economic Review</w:t>
      </w:r>
      <w:r w:rsidRPr="00D03CCC">
        <w:rPr>
          <w:sz w:val="28"/>
          <w:szCs w:val="28"/>
          <w:lang w:val="en-US"/>
        </w:rPr>
        <w:t>, 103</w:t>
      </w:r>
      <w:r w:rsidR="00FE2170">
        <w:rPr>
          <w:sz w:val="28"/>
          <w:szCs w:val="28"/>
          <w:lang w:val="en-US"/>
        </w:rPr>
        <w:t xml:space="preserve"> (1)</w:t>
      </w:r>
      <w:r w:rsidRPr="00D03CCC">
        <w:rPr>
          <w:sz w:val="28"/>
          <w:szCs w:val="28"/>
          <w:lang w:val="en-US"/>
        </w:rPr>
        <w:t>, 305–34.</w:t>
      </w:r>
    </w:p>
    <w:p w14:paraId="474E2101" w14:textId="77777777" w:rsidR="00D55CD5" w:rsidRPr="00292E7B" w:rsidRDefault="00D55CD5" w:rsidP="00D55CD5">
      <w:pPr>
        <w:pStyle w:val="a6"/>
        <w:spacing w:after="120"/>
        <w:jc w:val="both"/>
        <w:rPr>
          <w:sz w:val="28"/>
          <w:szCs w:val="28"/>
          <w:lang w:val="en-US"/>
        </w:rPr>
      </w:pPr>
      <w:r w:rsidRPr="00292E7B">
        <w:rPr>
          <w:sz w:val="28"/>
          <w:szCs w:val="28"/>
          <w:lang w:val="en-US"/>
        </w:rPr>
        <w:t xml:space="preserve">Bessonova, E. and Tsvetkova, A. (2021). Do Productivity Laggards Ever Catch Up with Leaders? </w:t>
      </w:r>
      <w:r w:rsidRPr="00292E7B">
        <w:rPr>
          <w:i/>
          <w:iCs/>
          <w:sz w:val="28"/>
          <w:szCs w:val="28"/>
          <w:lang w:val="en-US"/>
        </w:rPr>
        <w:t>Review of Income and Wealth</w:t>
      </w:r>
      <w:r w:rsidRPr="00292E7B">
        <w:rPr>
          <w:sz w:val="28"/>
          <w:szCs w:val="28"/>
          <w:lang w:val="en-US"/>
        </w:rPr>
        <w:t>.</w:t>
      </w:r>
    </w:p>
    <w:p w14:paraId="1B550AD8" w14:textId="77777777" w:rsidR="00D55CD5" w:rsidRPr="00D03CCC" w:rsidRDefault="00D55CD5" w:rsidP="00D55CD5">
      <w:pPr>
        <w:pStyle w:val="a6"/>
        <w:spacing w:after="120"/>
        <w:jc w:val="both"/>
        <w:rPr>
          <w:sz w:val="28"/>
          <w:szCs w:val="28"/>
          <w:lang w:val="en-US"/>
        </w:rPr>
      </w:pPr>
      <w:r w:rsidRPr="00D03CCC">
        <w:rPr>
          <w:sz w:val="28"/>
          <w:szCs w:val="28"/>
          <w:lang w:val="en-US"/>
        </w:rPr>
        <w:t>Bournakis I., Mallick S. (2018). TFP estimation at firm level: The fiscal aspect of productivity convergence in the UK. Economic Modelling, 70, 579-590.</w:t>
      </w:r>
    </w:p>
    <w:p w14:paraId="288DAE07" w14:textId="45F625CA" w:rsidR="00D55CD5" w:rsidRPr="00D03CCC" w:rsidRDefault="00D55CD5" w:rsidP="00D55CD5">
      <w:pPr>
        <w:pStyle w:val="a6"/>
        <w:spacing w:after="120"/>
        <w:jc w:val="both"/>
        <w:rPr>
          <w:sz w:val="28"/>
          <w:szCs w:val="28"/>
          <w:lang w:val="en-US"/>
        </w:rPr>
      </w:pPr>
      <w:r w:rsidRPr="00D03CCC">
        <w:rPr>
          <w:sz w:val="28"/>
          <w:szCs w:val="28"/>
          <w:lang w:val="en-US"/>
        </w:rPr>
        <w:t xml:space="preserve">Caballero R. J., Hosh T., Kashyap A. K. (2008). Zombie lending and depressed restructuring in Japan. </w:t>
      </w:r>
      <w:r w:rsidRPr="006719DA">
        <w:rPr>
          <w:i/>
          <w:iCs/>
          <w:sz w:val="28"/>
          <w:szCs w:val="28"/>
          <w:lang w:val="en-US"/>
        </w:rPr>
        <w:t xml:space="preserve">American </w:t>
      </w:r>
      <w:r w:rsidR="006719DA">
        <w:rPr>
          <w:i/>
          <w:iCs/>
          <w:sz w:val="28"/>
          <w:szCs w:val="28"/>
          <w:lang w:val="en-US"/>
        </w:rPr>
        <w:t>E</w:t>
      </w:r>
      <w:r w:rsidRPr="006719DA">
        <w:rPr>
          <w:i/>
          <w:iCs/>
          <w:sz w:val="28"/>
          <w:szCs w:val="28"/>
          <w:lang w:val="en-US"/>
        </w:rPr>
        <w:t xml:space="preserve">conomic </w:t>
      </w:r>
      <w:r w:rsidR="006719DA">
        <w:rPr>
          <w:i/>
          <w:iCs/>
          <w:sz w:val="28"/>
          <w:szCs w:val="28"/>
          <w:lang w:val="en-US"/>
        </w:rPr>
        <w:t>R</w:t>
      </w:r>
      <w:r w:rsidRPr="006719DA">
        <w:rPr>
          <w:i/>
          <w:iCs/>
          <w:sz w:val="28"/>
          <w:szCs w:val="28"/>
          <w:lang w:val="en-US"/>
        </w:rPr>
        <w:t>eview</w:t>
      </w:r>
      <w:r w:rsidRPr="00D03CCC">
        <w:rPr>
          <w:sz w:val="28"/>
          <w:szCs w:val="28"/>
          <w:lang w:val="en-US"/>
        </w:rPr>
        <w:t>, 98</w:t>
      </w:r>
      <w:r w:rsidR="006719DA">
        <w:rPr>
          <w:sz w:val="28"/>
          <w:szCs w:val="28"/>
          <w:lang w:val="en-US"/>
        </w:rPr>
        <w:t xml:space="preserve"> (5)</w:t>
      </w:r>
      <w:r w:rsidRPr="00D03CCC">
        <w:rPr>
          <w:sz w:val="28"/>
          <w:szCs w:val="28"/>
          <w:lang w:val="en-US"/>
        </w:rPr>
        <w:t>, 1943-1977.</w:t>
      </w:r>
    </w:p>
    <w:p w14:paraId="5E5A06CD" w14:textId="77777777" w:rsidR="00D55CD5" w:rsidRPr="00D03CCC" w:rsidRDefault="00D55CD5" w:rsidP="00D55CD5">
      <w:pPr>
        <w:pStyle w:val="a6"/>
        <w:spacing w:after="120"/>
        <w:jc w:val="both"/>
        <w:rPr>
          <w:sz w:val="28"/>
          <w:szCs w:val="28"/>
          <w:lang w:val="en-US"/>
        </w:rPr>
      </w:pPr>
      <w:r w:rsidRPr="00D03CCC">
        <w:rPr>
          <w:sz w:val="28"/>
          <w:szCs w:val="28"/>
          <w:lang w:val="en-US"/>
        </w:rPr>
        <w:t xml:space="preserve">Cette G., Corde S., Lecat R. (2018) Firm-level productivity dispersion and convergence. </w:t>
      </w:r>
      <w:r w:rsidRPr="006719DA">
        <w:rPr>
          <w:i/>
          <w:iCs/>
          <w:sz w:val="28"/>
          <w:szCs w:val="28"/>
          <w:lang w:val="en-US"/>
        </w:rPr>
        <w:t>Economics Letters</w:t>
      </w:r>
      <w:r w:rsidRPr="00D03CCC">
        <w:rPr>
          <w:sz w:val="28"/>
          <w:szCs w:val="28"/>
          <w:lang w:val="en-US"/>
        </w:rPr>
        <w:t>, 166, 76-78.</w:t>
      </w:r>
    </w:p>
    <w:p w14:paraId="3EC3D285" w14:textId="2120E761" w:rsidR="00D55CD5" w:rsidRPr="00D03CCC" w:rsidRDefault="00D55CD5" w:rsidP="00D55CD5">
      <w:pPr>
        <w:pStyle w:val="a6"/>
        <w:spacing w:after="120"/>
        <w:jc w:val="both"/>
        <w:rPr>
          <w:sz w:val="28"/>
          <w:szCs w:val="28"/>
          <w:lang w:val="en-US"/>
        </w:rPr>
      </w:pPr>
      <w:r w:rsidRPr="00D03CCC">
        <w:rPr>
          <w:sz w:val="28"/>
          <w:szCs w:val="28"/>
          <w:lang w:val="en-US"/>
        </w:rPr>
        <w:t xml:space="preserve">Chevalier P. A., Lecat R., Oulton N. (2012). Convergence of firm-level productivity, globalisation and information technology: Evidence from France. </w:t>
      </w:r>
      <w:r w:rsidRPr="006719DA">
        <w:rPr>
          <w:i/>
          <w:iCs/>
          <w:sz w:val="28"/>
          <w:szCs w:val="28"/>
          <w:lang w:val="en-US"/>
        </w:rPr>
        <w:t>Economics Letters</w:t>
      </w:r>
      <w:r w:rsidRPr="00D03CCC">
        <w:rPr>
          <w:sz w:val="28"/>
          <w:szCs w:val="28"/>
          <w:lang w:val="en-US"/>
        </w:rPr>
        <w:t>, 116</w:t>
      </w:r>
      <w:r w:rsidR="006719DA">
        <w:rPr>
          <w:sz w:val="28"/>
          <w:szCs w:val="28"/>
          <w:lang w:val="en-US"/>
        </w:rPr>
        <w:t xml:space="preserve"> </w:t>
      </w:r>
      <w:r w:rsidRPr="00D03CCC">
        <w:rPr>
          <w:sz w:val="28"/>
          <w:szCs w:val="28"/>
          <w:lang w:val="en-US"/>
        </w:rPr>
        <w:t>(2), pp. 244-246.</w:t>
      </w:r>
    </w:p>
    <w:p w14:paraId="79700F4E" w14:textId="40E41252" w:rsidR="00D55CD5" w:rsidRPr="00D03CCC" w:rsidRDefault="00D55CD5" w:rsidP="006719DA">
      <w:pPr>
        <w:pStyle w:val="a6"/>
        <w:spacing w:after="120"/>
        <w:jc w:val="both"/>
        <w:rPr>
          <w:sz w:val="28"/>
          <w:szCs w:val="28"/>
          <w:lang w:val="en-US"/>
        </w:rPr>
      </w:pPr>
      <w:r w:rsidRPr="00D03CCC">
        <w:rPr>
          <w:sz w:val="28"/>
          <w:szCs w:val="28"/>
          <w:lang w:val="en-US"/>
        </w:rPr>
        <w:t>Cunningham C., Foster L., Grim C., Haltiwanger J., Pabilonia S. W., Stewart J., Wolf Z. (2017)</w:t>
      </w:r>
      <w:r w:rsidR="006719DA">
        <w:rPr>
          <w:sz w:val="28"/>
          <w:szCs w:val="28"/>
          <w:lang w:val="en-US"/>
        </w:rPr>
        <w:t>.</w:t>
      </w:r>
      <w:r w:rsidRPr="00D03CCC">
        <w:rPr>
          <w:sz w:val="28"/>
          <w:szCs w:val="28"/>
          <w:lang w:val="en-US"/>
        </w:rPr>
        <w:t xml:space="preserve"> Dispersion in Dispersion: Measuring Establishment-Level Differences in Productivity. </w:t>
      </w:r>
      <w:r w:rsidR="006719DA" w:rsidRPr="006719DA">
        <w:rPr>
          <w:sz w:val="28"/>
          <w:szCs w:val="28"/>
          <w:lang w:val="en-US"/>
        </w:rPr>
        <w:t>U.S. Census Bureau</w:t>
      </w:r>
      <w:r w:rsidR="006719DA">
        <w:rPr>
          <w:sz w:val="28"/>
          <w:szCs w:val="28"/>
          <w:lang w:val="en-US"/>
        </w:rPr>
        <w:t xml:space="preserve"> </w:t>
      </w:r>
      <w:r w:rsidR="006719DA" w:rsidRPr="006719DA">
        <w:rPr>
          <w:sz w:val="28"/>
          <w:szCs w:val="28"/>
          <w:lang w:val="en-US"/>
        </w:rPr>
        <w:t>Center for Economic Studies Working Paper No. 18–25.</w:t>
      </w:r>
    </w:p>
    <w:p w14:paraId="5B081F1E" w14:textId="143D43B8" w:rsidR="00D55CD5" w:rsidRPr="00D03CCC" w:rsidRDefault="00D55CD5" w:rsidP="00D55CD5">
      <w:pPr>
        <w:pStyle w:val="a6"/>
        <w:spacing w:after="120"/>
        <w:jc w:val="both"/>
        <w:rPr>
          <w:sz w:val="28"/>
          <w:szCs w:val="28"/>
          <w:lang w:val="en-US"/>
        </w:rPr>
      </w:pPr>
      <w:r w:rsidRPr="00D03CCC">
        <w:rPr>
          <w:sz w:val="28"/>
          <w:szCs w:val="28"/>
          <w:lang w:val="en-US"/>
        </w:rPr>
        <w:t xml:space="preserve">Decker R. A., Haltiwanger J., Jarmin R. S., Miranda J. (2017). Declining dynamism, allocative efficiency, and the productivity slowdown. </w:t>
      </w:r>
      <w:r w:rsidRPr="006719DA">
        <w:rPr>
          <w:i/>
          <w:iCs/>
          <w:sz w:val="28"/>
          <w:szCs w:val="28"/>
          <w:lang w:val="en-US"/>
        </w:rPr>
        <w:t>American Economic Review</w:t>
      </w:r>
      <w:r w:rsidRPr="00D03CCC">
        <w:rPr>
          <w:sz w:val="28"/>
          <w:szCs w:val="28"/>
          <w:lang w:val="en-US"/>
        </w:rPr>
        <w:t>, 107</w:t>
      </w:r>
      <w:r w:rsidR="006719DA">
        <w:rPr>
          <w:sz w:val="28"/>
          <w:szCs w:val="28"/>
          <w:lang w:val="en-US"/>
        </w:rPr>
        <w:t xml:space="preserve"> (5)</w:t>
      </w:r>
      <w:r w:rsidRPr="00D03CCC">
        <w:rPr>
          <w:sz w:val="28"/>
          <w:szCs w:val="28"/>
          <w:lang w:val="en-US"/>
        </w:rPr>
        <w:t>, 322-</w:t>
      </w:r>
      <w:r w:rsidR="006719DA">
        <w:rPr>
          <w:sz w:val="28"/>
          <w:szCs w:val="28"/>
          <w:lang w:val="en-US"/>
        </w:rPr>
        <w:t>3</w:t>
      </w:r>
      <w:r w:rsidRPr="00D03CCC">
        <w:rPr>
          <w:sz w:val="28"/>
          <w:szCs w:val="28"/>
          <w:lang w:val="en-US"/>
        </w:rPr>
        <w:t>26.</w:t>
      </w:r>
    </w:p>
    <w:p w14:paraId="619E9E6F" w14:textId="77777777" w:rsidR="00D55CD5" w:rsidRPr="00D03CCC" w:rsidRDefault="00D55CD5" w:rsidP="00D55CD5">
      <w:pPr>
        <w:pStyle w:val="a6"/>
        <w:spacing w:after="120"/>
        <w:jc w:val="both"/>
        <w:rPr>
          <w:sz w:val="28"/>
          <w:szCs w:val="28"/>
          <w:lang w:val="en-US"/>
        </w:rPr>
      </w:pPr>
      <w:r w:rsidRPr="00D03CCC">
        <w:rPr>
          <w:sz w:val="28"/>
          <w:szCs w:val="28"/>
          <w:lang w:val="en-US"/>
        </w:rPr>
        <w:lastRenderedPageBreak/>
        <w:t xml:space="preserve">Foster L., Grim C., Haltiwanger J. (2016). Reallocation in the great recession: cleansing or not? </w:t>
      </w:r>
      <w:r w:rsidRPr="00B523F3">
        <w:rPr>
          <w:i/>
          <w:iCs/>
          <w:sz w:val="28"/>
          <w:szCs w:val="28"/>
          <w:lang w:val="en-US"/>
        </w:rPr>
        <w:t>Journal of Labor Economics</w:t>
      </w:r>
      <w:r w:rsidRPr="00D03CCC">
        <w:rPr>
          <w:sz w:val="28"/>
          <w:szCs w:val="28"/>
          <w:lang w:val="en-US"/>
        </w:rPr>
        <w:t>, 34(S1), S293-S331.</w:t>
      </w:r>
    </w:p>
    <w:p w14:paraId="1D30EEAE" w14:textId="77777777" w:rsidR="00D55CD5" w:rsidRPr="00D03CCC" w:rsidRDefault="00D55CD5" w:rsidP="00D55CD5">
      <w:pPr>
        <w:pStyle w:val="a6"/>
        <w:spacing w:after="120"/>
        <w:jc w:val="both"/>
        <w:rPr>
          <w:sz w:val="28"/>
          <w:szCs w:val="28"/>
          <w:lang w:val="en-US"/>
        </w:rPr>
      </w:pPr>
      <w:r w:rsidRPr="00D03CCC">
        <w:rPr>
          <w:sz w:val="28"/>
          <w:szCs w:val="28"/>
          <w:lang w:val="en-US"/>
        </w:rPr>
        <w:t>Gamberoni E., Giordano C., Lopez-Garcia P. (2016). Capital and labour (mis) allocation in the euro area: some stylized facts and determinants. ECB Working Paper 1981.</w:t>
      </w:r>
    </w:p>
    <w:p w14:paraId="79414154" w14:textId="02693C40" w:rsidR="00D55CD5" w:rsidRPr="00D03CCC" w:rsidRDefault="00D55CD5" w:rsidP="00D55CD5">
      <w:pPr>
        <w:pStyle w:val="a6"/>
        <w:spacing w:after="120"/>
        <w:jc w:val="both"/>
        <w:rPr>
          <w:sz w:val="28"/>
          <w:szCs w:val="28"/>
          <w:lang w:val="en-US"/>
        </w:rPr>
      </w:pPr>
      <w:r w:rsidRPr="00D03CCC">
        <w:rPr>
          <w:sz w:val="28"/>
          <w:szCs w:val="28"/>
          <w:lang w:val="en-US"/>
        </w:rPr>
        <w:t xml:space="preserve">Gopinath G., Kalemli-Özcan Ş., Karabarbounis L., Villegas-Sanchez C. (2017). Capital allocation and productivity in South Europe. </w:t>
      </w:r>
      <w:r w:rsidRPr="00B523F3">
        <w:rPr>
          <w:i/>
          <w:iCs/>
          <w:sz w:val="28"/>
          <w:szCs w:val="28"/>
          <w:lang w:val="en-US"/>
        </w:rPr>
        <w:t>The Quarterly Journal of Economics</w:t>
      </w:r>
      <w:r w:rsidRPr="00D03CCC">
        <w:rPr>
          <w:sz w:val="28"/>
          <w:szCs w:val="28"/>
          <w:lang w:val="en-US"/>
        </w:rPr>
        <w:t>, 132</w:t>
      </w:r>
      <w:r w:rsidR="00B523F3">
        <w:rPr>
          <w:sz w:val="28"/>
          <w:szCs w:val="28"/>
          <w:lang w:val="en-US"/>
        </w:rPr>
        <w:t xml:space="preserve"> (4)</w:t>
      </w:r>
      <w:r w:rsidRPr="00D03CCC">
        <w:rPr>
          <w:sz w:val="28"/>
          <w:szCs w:val="28"/>
          <w:lang w:val="en-US"/>
        </w:rPr>
        <w:t>, 1915-1967.</w:t>
      </w:r>
    </w:p>
    <w:p w14:paraId="57743597" w14:textId="2F76BFC1" w:rsidR="00D55CD5" w:rsidRPr="00D03CCC" w:rsidRDefault="00D55CD5" w:rsidP="00D55CD5">
      <w:pPr>
        <w:pStyle w:val="a6"/>
        <w:spacing w:after="120"/>
        <w:jc w:val="both"/>
        <w:rPr>
          <w:sz w:val="28"/>
          <w:szCs w:val="28"/>
          <w:lang w:val="en-US"/>
        </w:rPr>
      </w:pPr>
      <w:r w:rsidRPr="00D03CCC">
        <w:rPr>
          <w:sz w:val="28"/>
          <w:szCs w:val="28"/>
          <w:lang w:val="en-US"/>
        </w:rPr>
        <w:t xml:space="preserve">Gordon R. J. (2015). Secular stagnation: A supply-side view. </w:t>
      </w:r>
      <w:r w:rsidRPr="00B523F3">
        <w:rPr>
          <w:i/>
          <w:iCs/>
          <w:sz w:val="28"/>
          <w:szCs w:val="28"/>
          <w:lang w:val="en-US"/>
        </w:rPr>
        <w:t>American Economic Review</w:t>
      </w:r>
      <w:r w:rsidRPr="00D03CCC">
        <w:rPr>
          <w:sz w:val="28"/>
          <w:szCs w:val="28"/>
          <w:lang w:val="en-US"/>
        </w:rPr>
        <w:t>,105</w:t>
      </w:r>
      <w:r w:rsidR="00B523F3">
        <w:rPr>
          <w:sz w:val="28"/>
          <w:szCs w:val="28"/>
          <w:lang w:val="en-US"/>
        </w:rPr>
        <w:t xml:space="preserve"> (5)</w:t>
      </w:r>
      <w:r w:rsidRPr="00D03CCC">
        <w:rPr>
          <w:sz w:val="28"/>
          <w:szCs w:val="28"/>
          <w:lang w:val="en-US"/>
        </w:rPr>
        <w:t>, 54-59.</w:t>
      </w:r>
    </w:p>
    <w:p w14:paraId="2038C849" w14:textId="3265B3CB" w:rsidR="00D55CD5" w:rsidRPr="00D03CCC" w:rsidRDefault="00D55CD5" w:rsidP="00D55CD5">
      <w:pPr>
        <w:pStyle w:val="a6"/>
        <w:spacing w:after="120"/>
        <w:jc w:val="both"/>
        <w:rPr>
          <w:sz w:val="28"/>
          <w:szCs w:val="28"/>
          <w:lang w:val="en-US"/>
        </w:rPr>
      </w:pPr>
      <w:r w:rsidRPr="00D03CCC">
        <w:rPr>
          <w:sz w:val="28"/>
          <w:szCs w:val="28"/>
          <w:lang w:val="en-US"/>
        </w:rPr>
        <w:t xml:space="preserve">Griffith R., Redding S., Simpson, H. (2009). Technological catch-up and geographic proximity. </w:t>
      </w:r>
      <w:r w:rsidRPr="00B523F3">
        <w:rPr>
          <w:i/>
          <w:iCs/>
          <w:sz w:val="28"/>
          <w:szCs w:val="28"/>
          <w:lang w:val="en-US"/>
        </w:rPr>
        <w:t>Journal of Regional Science</w:t>
      </w:r>
      <w:r w:rsidRPr="00D03CCC">
        <w:rPr>
          <w:sz w:val="28"/>
          <w:szCs w:val="28"/>
          <w:lang w:val="en-US"/>
        </w:rPr>
        <w:t>, 49</w:t>
      </w:r>
      <w:r w:rsidR="00B523F3">
        <w:rPr>
          <w:sz w:val="28"/>
          <w:szCs w:val="28"/>
          <w:lang w:val="en-US"/>
        </w:rPr>
        <w:t xml:space="preserve"> (4)</w:t>
      </w:r>
      <w:r w:rsidRPr="00D03CCC">
        <w:rPr>
          <w:sz w:val="28"/>
          <w:szCs w:val="28"/>
          <w:lang w:val="en-US"/>
        </w:rPr>
        <w:t>, 689-720.</w:t>
      </w:r>
    </w:p>
    <w:p w14:paraId="3D68579C" w14:textId="45E36EDE" w:rsidR="00D55CD5" w:rsidRPr="00D03CCC" w:rsidRDefault="00D55CD5" w:rsidP="00D55CD5">
      <w:pPr>
        <w:pStyle w:val="a6"/>
        <w:spacing w:after="120"/>
        <w:jc w:val="both"/>
        <w:rPr>
          <w:sz w:val="28"/>
          <w:szCs w:val="28"/>
          <w:lang w:val="en-US"/>
        </w:rPr>
      </w:pPr>
      <w:r w:rsidRPr="00D03CCC">
        <w:rPr>
          <w:sz w:val="28"/>
          <w:szCs w:val="28"/>
          <w:lang w:val="en-US"/>
        </w:rPr>
        <w:t>Haltiwanger J., Jarmin R. S., Miranda J. (2013). Who creates jobs? Small versus large versus young. Review of Economics and Statistics, 95</w:t>
      </w:r>
      <w:r w:rsidR="00B523F3">
        <w:rPr>
          <w:sz w:val="28"/>
          <w:szCs w:val="28"/>
          <w:lang w:val="en-US"/>
        </w:rPr>
        <w:t xml:space="preserve"> (2)</w:t>
      </w:r>
      <w:r w:rsidRPr="00D03CCC">
        <w:rPr>
          <w:sz w:val="28"/>
          <w:szCs w:val="28"/>
          <w:lang w:val="en-US"/>
        </w:rPr>
        <w:t>, 347-361.</w:t>
      </w:r>
    </w:p>
    <w:p w14:paraId="66F5D343" w14:textId="5E06691B" w:rsidR="00D55CD5" w:rsidRPr="00D03CCC" w:rsidRDefault="00D55CD5" w:rsidP="00D55CD5">
      <w:pPr>
        <w:pStyle w:val="a6"/>
        <w:spacing w:after="120"/>
        <w:jc w:val="both"/>
        <w:rPr>
          <w:sz w:val="28"/>
          <w:szCs w:val="28"/>
          <w:lang w:val="en-US"/>
        </w:rPr>
      </w:pPr>
      <w:r w:rsidRPr="00D03CCC">
        <w:rPr>
          <w:sz w:val="28"/>
          <w:szCs w:val="28"/>
          <w:lang w:val="en-US"/>
        </w:rPr>
        <w:t>Lalinsky T., Pá R. (2021). Efficiency and effectiveness of the COVID-19 government support: Evidence from firm-level data. EIB Working Papers</w:t>
      </w:r>
      <w:r w:rsidR="00B523F3" w:rsidRPr="00B523F3">
        <w:rPr>
          <w:sz w:val="28"/>
          <w:szCs w:val="28"/>
          <w:lang w:val="en-US"/>
        </w:rPr>
        <w:t xml:space="preserve"> </w:t>
      </w:r>
      <w:r w:rsidR="00B523F3" w:rsidRPr="00D03CCC">
        <w:rPr>
          <w:sz w:val="28"/>
          <w:szCs w:val="28"/>
          <w:lang w:val="en-US"/>
        </w:rPr>
        <w:t>No. 2021/06</w:t>
      </w:r>
      <w:r w:rsidRPr="00D03CCC">
        <w:rPr>
          <w:sz w:val="28"/>
          <w:szCs w:val="28"/>
          <w:lang w:val="en-US"/>
        </w:rPr>
        <w:t>.</w:t>
      </w:r>
    </w:p>
    <w:p w14:paraId="7FB69823" w14:textId="77777777" w:rsidR="00D55CD5" w:rsidRPr="00273A00" w:rsidRDefault="00D55CD5" w:rsidP="00D55CD5">
      <w:pPr>
        <w:pStyle w:val="a6"/>
        <w:spacing w:after="120"/>
        <w:jc w:val="both"/>
        <w:rPr>
          <w:sz w:val="28"/>
          <w:szCs w:val="28"/>
          <w:lang w:val="en-US"/>
        </w:rPr>
      </w:pPr>
      <w:r w:rsidRPr="00273A00">
        <w:rPr>
          <w:sz w:val="28"/>
          <w:szCs w:val="28"/>
          <w:lang w:val="en-US"/>
        </w:rPr>
        <w:t xml:space="preserve">Linarello A., Petrella A. (2017). Productivity and reallocation: evidence from the universe of Italian firms. </w:t>
      </w:r>
      <w:r w:rsidRPr="00273A00">
        <w:rPr>
          <w:i/>
          <w:iCs/>
          <w:sz w:val="28"/>
          <w:szCs w:val="28"/>
          <w:lang w:val="en-US"/>
        </w:rPr>
        <w:t>International Productivity Monitor</w:t>
      </w:r>
      <w:r w:rsidRPr="00273A00">
        <w:rPr>
          <w:sz w:val="28"/>
          <w:szCs w:val="28"/>
          <w:lang w:val="en-US"/>
        </w:rPr>
        <w:t>, 32, 116–136.</w:t>
      </w:r>
    </w:p>
    <w:p w14:paraId="1AF77F03" w14:textId="4D7E3356" w:rsidR="00D55CD5" w:rsidRPr="00D03CCC" w:rsidRDefault="00D55CD5" w:rsidP="00D55CD5">
      <w:pPr>
        <w:pStyle w:val="a6"/>
        <w:spacing w:after="120"/>
        <w:jc w:val="both"/>
        <w:rPr>
          <w:sz w:val="28"/>
          <w:szCs w:val="28"/>
          <w:lang w:val="en-US"/>
        </w:rPr>
      </w:pPr>
      <w:r w:rsidRPr="00D03CCC">
        <w:rPr>
          <w:sz w:val="28"/>
          <w:szCs w:val="28"/>
          <w:lang w:val="en-US"/>
        </w:rPr>
        <w:t xml:space="preserve">Ouyang M. (2009). The scarring effect of recessions. </w:t>
      </w:r>
      <w:r w:rsidRPr="00B523F3">
        <w:rPr>
          <w:i/>
          <w:iCs/>
          <w:sz w:val="28"/>
          <w:szCs w:val="28"/>
          <w:lang w:val="en-US"/>
        </w:rPr>
        <w:t>Journal of Monetary Economics</w:t>
      </w:r>
      <w:r w:rsidRPr="00D03CCC">
        <w:rPr>
          <w:sz w:val="28"/>
          <w:szCs w:val="28"/>
          <w:lang w:val="en-US"/>
        </w:rPr>
        <w:t>, 56</w:t>
      </w:r>
      <w:r w:rsidR="00B523F3">
        <w:rPr>
          <w:sz w:val="28"/>
          <w:szCs w:val="28"/>
          <w:lang w:val="en-US"/>
        </w:rPr>
        <w:t xml:space="preserve"> (2)</w:t>
      </w:r>
      <w:r w:rsidRPr="00D03CCC">
        <w:rPr>
          <w:sz w:val="28"/>
          <w:szCs w:val="28"/>
          <w:lang w:val="en-US"/>
        </w:rPr>
        <w:t>, 184–199.</w:t>
      </w:r>
    </w:p>
    <w:p w14:paraId="3DBAB9D8" w14:textId="1B804E68" w:rsidR="003E2794" w:rsidRDefault="003E2794" w:rsidP="00D55CD5">
      <w:pPr>
        <w:pStyle w:val="a6"/>
        <w:spacing w:after="120"/>
        <w:jc w:val="both"/>
        <w:rPr>
          <w:sz w:val="28"/>
          <w:szCs w:val="28"/>
          <w:lang w:val="en-US"/>
        </w:rPr>
      </w:pPr>
      <w:r w:rsidRPr="003E2794">
        <w:rPr>
          <w:sz w:val="28"/>
          <w:szCs w:val="28"/>
          <w:lang w:val="en-US"/>
        </w:rPr>
        <w:t xml:space="preserve">Petrin A., Levinsohn J. (2012). Measuring aggregate productivity growth using plant‐level data. </w:t>
      </w:r>
      <w:r w:rsidRPr="003E2794">
        <w:rPr>
          <w:i/>
          <w:iCs/>
          <w:sz w:val="28"/>
          <w:szCs w:val="28"/>
          <w:lang w:val="en-US"/>
        </w:rPr>
        <w:t>The Rand journal of economics</w:t>
      </w:r>
      <w:r w:rsidRPr="003E2794">
        <w:rPr>
          <w:sz w:val="28"/>
          <w:szCs w:val="28"/>
          <w:lang w:val="en-US"/>
        </w:rPr>
        <w:t>, 43</w:t>
      </w:r>
      <w:r>
        <w:rPr>
          <w:sz w:val="28"/>
          <w:szCs w:val="28"/>
          <w:lang w:val="en-US"/>
        </w:rPr>
        <w:t xml:space="preserve"> </w:t>
      </w:r>
      <w:r w:rsidRPr="003E2794">
        <w:rPr>
          <w:sz w:val="28"/>
          <w:szCs w:val="28"/>
          <w:lang w:val="en-US"/>
        </w:rPr>
        <w:t>(4), 705-725.</w:t>
      </w:r>
    </w:p>
    <w:p w14:paraId="23D05927" w14:textId="358801D3" w:rsidR="00D55CD5" w:rsidRPr="00D03CCC" w:rsidRDefault="00D55CD5" w:rsidP="00D55CD5">
      <w:pPr>
        <w:pStyle w:val="a6"/>
        <w:spacing w:after="120"/>
        <w:jc w:val="both"/>
        <w:rPr>
          <w:sz w:val="28"/>
          <w:szCs w:val="28"/>
          <w:lang w:val="en-US"/>
        </w:rPr>
      </w:pPr>
      <w:r w:rsidRPr="00D03CCC">
        <w:rPr>
          <w:sz w:val="28"/>
          <w:szCs w:val="28"/>
          <w:lang w:val="en-US"/>
        </w:rPr>
        <w:t xml:space="preserve">Syverson C. (2011). What determines productivity? </w:t>
      </w:r>
      <w:r w:rsidRPr="00B523F3">
        <w:rPr>
          <w:i/>
          <w:iCs/>
          <w:sz w:val="28"/>
          <w:szCs w:val="28"/>
          <w:lang w:val="en-US"/>
        </w:rPr>
        <w:t>Journal of Economic literature</w:t>
      </w:r>
      <w:r w:rsidRPr="00D03CCC">
        <w:rPr>
          <w:sz w:val="28"/>
          <w:szCs w:val="28"/>
          <w:lang w:val="en-US"/>
        </w:rPr>
        <w:t>, 49</w:t>
      </w:r>
      <w:r w:rsidR="00B523F3">
        <w:rPr>
          <w:sz w:val="28"/>
          <w:szCs w:val="28"/>
          <w:lang w:val="en-US"/>
        </w:rPr>
        <w:t xml:space="preserve"> </w:t>
      </w:r>
      <w:r w:rsidRPr="00D03CCC">
        <w:rPr>
          <w:sz w:val="28"/>
          <w:szCs w:val="28"/>
          <w:lang w:val="en-US"/>
        </w:rPr>
        <w:t>(2), 326-65.</w:t>
      </w:r>
    </w:p>
    <w:p w14:paraId="0AF8F674" w14:textId="60096C6C" w:rsidR="00D55CD5" w:rsidRPr="00D03CCC" w:rsidRDefault="00D55CD5" w:rsidP="00D55CD5">
      <w:pPr>
        <w:pStyle w:val="a6"/>
        <w:spacing w:after="120"/>
        <w:jc w:val="both"/>
        <w:rPr>
          <w:sz w:val="28"/>
          <w:szCs w:val="28"/>
          <w:lang w:val="en-US"/>
        </w:rPr>
      </w:pPr>
      <w:r w:rsidRPr="00D03CCC">
        <w:rPr>
          <w:sz w:val="28"/>
          <w:szCs w:val="28"/>
          <w:lang w:val="en-US"/>
        </w:rPr>
        <w:t>Tian C. (2018). Firm-level entry and exit dynamics over the business cycles. European Economic Review, 102, 298-326.</w:t>
      </w:r>
    </w:p>
    <w:p w14:paraId="0C1365FC" w14:textId="77777777" w:rsidR="00D55CD5" w:rsidRPr="00D03CCC" w:rsidRDefault="00D55CD5" w:rsidP="00D55CD5">
      <w:pPr>
        <w:pStyle w:val="a6"/>
        <w:spacing w:after="120"/>
        <w:jc w:val="both"/>
        <w:rPr>
          <w:sz w:val="28"/>
          <w:szCs w:val="28"/>
          <w:lang w:val="en-US"/>
        </w:rPr>
      </w:pPr>
      <w:r w:rsidRPr="00D03CCC">
        <w:rPr>
          <w:sz w:val="28"/>
          <w:szCs w:val="28"/>
          <w:lang w:val="en-US"/>
        </w:rPr>
        <w:t>Timmer M. P., Voskoboynikov I. B. (2014). Is mining fuelling long run growth in Russia? Industry productivity growth trends since 1995. Review of Income and Wealth, 60, S398–S422.</w:t>
      </w:r>
    </w:p>
    <w:p w14:paraId="5F3C1D9B" w14:textId="77777777" w:rsidR="00D55CD5" w:rsidRPr="00D55CD5" w:rsidRDefault="00D55CD5" w:rsidP="00D55CD5">
      <w:pPr>
        <w:pStyle w:val="a6"/>
        <w:spacing w:after="120"/>
        <w:jc w:val="both"/>
        <w:rPr>
          <w:sz w:val="28"/>
          <w:szCs w:val="28"/>
          <w:lang w:val="en-US"/>
        </w:rPr>
      </w:pPr>
      <w:r w:rsidRPr="00D03CCC">
        <w:rPr>
          <w:sz w:val="28"/>
          <w:szCs w:val="28"/>
          <w:lang w:val="en-US"/>
        </w:rPr>
        <w:t xml:space="preserve">Voskoboynikov I. B. (2017). Sources of long run economic growth in Russia before and after the global financial crisis. </w:t>
      </w:r>
      <w:r w:rsidRPr="00D55CD5">
        <w:rPr>
          <w:sz w:val="28"/>
          <w:szCs w:val="28"/>
          <w:lang w:val="en-US"/>
        </w:rPr>
        <w:t>Russian Journal of Economics, 3 (4), 348–365.</w:t>
      </w:r>
    </w:p>
    <w:p w14:paraId="0F8163D9" w14:textId="3BBE1125" w:rsidR="00D55CD5" w:rsidRDefault="00D55CD5" w:rsidP="00D35637">
      <w:pPr>
        <w:pStyle w:val="a6"/>
        <w:spacing w:after="120"/>
        <w:jc w:val="both"/>
        <w:rPr>
          <w:sz w:val="28"/>
          <w:szCs w:val="28"/>
          <w:lang w:val="en-US"/>
        </w:rPr>
      </w:pPr>
      <w:r w:rsidRPr="00D03CCC">
        <w:rPr>
          <w:sz w:val="28"/>
          <w:szCs w:val="28"/>
          <w:lang w:val="en-US"/>
        </w:rPr>
        <w:t>Wildnerova, L., Blöchliger, H. (2019). What makes a productive Russian firm? A comparative analysis using firm-level data. OECD Economics Department Working Papers, No. 1592.</w:t>
      </w:r>
    </w:p>
    <w:p w14:paraId="05A48240" w14:textId="77A98506" w:rsidR="005E3FB1" w:rsidRPr="005E3FB1" w:rsidRDefault="005E3FB1" w:rsidP="00D35637">
      <w:pPr>
        <w:pStyle w:val="a6"/>
        <w:spacing w:after="120"/>
        <w:jc w:val="both"/>
        <w:rPr>
          <w:sz w:val="28"/>
          <w:szCs w:val="28"/>
          <w:lang w:val="en-US"/>
        </w:rPr>
      </w:pPr>
      <w:r w:rsidRPr="005E3FB1">
        <w:rPr>
          <w:sz w:val="28"/>
          <w:szCs w:val="28"/>
          <w:lang w:val="en-US"/>
        </w:rPr>
        <w:t xml:space="preserve">Wooldridge J. M. (2009). On estimating firm-level production functions using proxy variables to control for unobservables. </w:t>
      </w:r>
      <w:r w:rsidRPr="005E3FB1">
        <w:rPr>
          <w:i/>
          <w:iCs/>
          <w:sz w:val="28"/>
          <w:szCs w:val="28"/>
          <w:lang w:val="en-US"/>
        </w:rPr>
        <w:t>Economics letters</w:t>
      </w:r>
      <w:r w:rsidRPr="005E3FB1">
        <w:rPr>
          <w:sz w:val="28"/>
          <w:szCs w:val="28"/>
          <w:lang w:val="en-US"/>
        </w:rPr>
        <w:t>, 104</w:t>
      </w:r>
      <w:r>
        <w:rPr>
          <w:sz w:val="28"/>
          <w:szCs w:val="28"/>
          <w:lang w:val="en-US"/>
        </w:rPr>
        <w:t xml:space="preserve"> </w:t>
      </w:r>
      <w:r w:rsidRPr="005E3FB1">
        <w:rPr>
          <w:sz w:val="28"/>
          <w:szCs w:val="28"/>
          <w:lang w:val="en-US"/>
        </w:rPr>
        <w:t>(3), 112-114.</w:t>
      </w:r>
    </w:p>
    <w:sectPr w:rsidR="005E3FB1" w:rsidRPr="005E3FB1" w:rsidSect="00BF64C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4078D" w14:textId="77777777" w:rsidR="00336670" w:rsidRDefault="00336670" w:rsidP="001F5CD2">
      <w:pPr>
        <w:spacing w:after="0" w:line="240" w:lineRule="auto"/>
      </w:pPr>
      <w:r>
        <w:separator/>
      </w:r>
    </w:p>
  </w:endnote>
  <w:endnote w:type="continuationSeparator" w:id="0">
    <w:p w14:paraId="5888E270" w14:textId="77777777" w:rsidR="00336670" w:rsidRDefault="00336670" w:rsidP="001F5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4262450"/>
      <w:docPartObj>
        <w:docPartGallery w:val="Page Numbers (Bottom of Page)"/>
        <w:docPartUnique/>
      </w:docPartObj>
    </w:sdtPr>
    <w:sdtEndPr/>
    <w:sdtContent>
      <w:p w14:paraId="2959ABC7" w14:textId="5417D6FD" w:rsidR="00BF64C5" w:rsidRDefault="00BF64C5" w:rsidP="00BF64C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4500A" w14:textId="77777777" w:rsidR="00336670" w:rsidRDefault="00336670" w:rsidP="001F5CD2">
      <w:pPr>
        <w:spacing w:after="0" w:line="240" w:lineRule="auto"/>
      </w:pPr>
      <w:r>
        <w:separator/>
      </w:r>
    </w:p>
  </w:footnote>
  <w:footnote w:type="continuationSeparator" w:id="0">
    <w:p w14:paraId="1243DE86" w14:textId="77777777" w:rsidR="00336670" w:rsidRDefault="00336670" w:rsidP="001F5CD2">
      <w:pPr>
        <w:spacing w:after="0" w:line="240" w:lineRule="auto"/>
      </w:pPr>
      <w:r>
        <w:continuationSeparator/>
      </w:r>
    </w:p>
  </w:footnote>
  <w:footnote w:id="1">
    <w:p w14:paraId="70DDAE62" w14:textId="77777777" w:rsidR="00037C6A" w:rsidRPr="002636B5" w:rsidRDefault="00037C6A" w:rsidP="00037C6A">
      <w:pPr>
        <w:pStyle w:val="a6"/>
      </w:pPr>
      <w:r>
        <w:rPr>
          <w:rStyle w:val="a8"/>
        </w:rPr>
        <w:footnoteRef/>
      </w:r>
      <w:r w:rsidRPr="002636B5">
        <w:t xml:space="preserve"> </w:t>
      </w:r>
      <w:hyperlink r:id="rId1" w:history="1">
        <w:r w:rsidRPr="00037C6A">
          <w:rPr>
            <w:rStyle w:val="a4"/>
            <w:lang w:val="en-US"/>
          </w:rPr>
          <w:t>https</w:t>
        </w:r>
        <w:r w:rsidRPr="002636B5">
          <w:rPr>
            <w:rStyle w:val="a4"/>
          </w:rPr>
          <w:t>://</w:t>
        </w:r>
        <w:r w:rsidRPr="00037C6A">
          <w:rPr>
            <w:rStyle w:val="a4"/>
            <w:lang w:val="en-US"/>
          </w:rPr>
          <w:t>rosstat</w:t>
        </w:r>
        <w:r w:rsidRPr="002636B5">
          <w:rPr>
            <w:rStyle w:val="a4"/>
          </w:rPr>
          <w:t>.</w:t>
        </w:r>
        <w:r w:rsidRPr="00037C6A">
          <w:rPr>
            <w:rStyle w:val="a4"/>
            <w:lang w:val="en-US"/>
          </w:rPr>
          <w:t>gov</w:t>
        </w:r>
        <w:r w:rsidRPr="002636B5">
          <w:rPr>
            <w:rStyle w:val="a4"/>
          </w:rPr>
          <w:t>.</w:t>
        </w:r>
        <w:r w:rsidRPr="00037C6A">
          <w:rPr>
            <w:rStyle w:val="a4"/>
            <w:lang w:val="en-US"/>
          </w:rPr>
          <w:t>ru</w:t>
        </w:r>
        <w:r w:rsidRPr="002636B5">
          <w:rPr>
            <w:rStyle w:val="a4"/>
          </w:rPr>
          <w:t>/</w:t>
        </w:r>
        <w:r w:rsidRPr="00037C6A">
          <w:rPr>
            <w:rStyle w:val="a4"/>
            <w:lang w:val="en-US"/>
          </w:rPr>
          <w:t>accounts</w:t>
        </w:r>
      </w:hyperlink>
      <w:r w:rsidRPr="002636B5">
        <w:t xml:space="preserve"> </w:t>
      </w:r>
    </w:p>
  </w:footnote>
  <w:footnote w:id="2">
    <w:p w14:paraId="705B84E8" w14:textId="77777777" w:rsidR="00BA3701" w:rsidRPr="005D55BF" w:rsidRDefault="00BA3701" w:rsidP="00BA3701">
      <w:pPr>
        <w:pStyle w:val="a6"/>
      </w:pPr>
      <w:r>
        <w:rPr>
          <w:rStyle w:val="a8"/>
        </w:rPr>
        <w:footnoteRef/>
      </w:r>
      <w:r>
        <w:t xml:space="preserve"> </w:t>
      </w:r>
      <w:r w:rsidRPr="005D55BF">
        <w:t xml:space="preserve">В Росстате опубликованы данные бухгалтерской отчетности по предприятиям с 2012 по 2018 год в виде набора (в формате </w:t>
      </w:r>
      <w:r w:rsidRPr="005D55BF">
        <w:rPr>
          <w:lang w:val="en-US"/>
        </w:rPr>
        <w:t>csv</w:t>
      </w:r>
      <w:r w:rsidRPr="005D55BF">
        <w:t xml:space="preserve">), который включает в себя ряд идентификаторов предприятия (в том числе ИНН и код ОКВЭД), показатели бухгалтерского баланса, отчеты о финансовых результатах, изменениях капитала, движении денежных средств, целевом использовании средств. В отличие от базы </w:t>
      </w:r>
      <w:r w:rsidRPr="005D55BF">
        <w:rPr>
          <w:lang w:val="en-US"/>
        </w:rPr>
        <w:t>Ruslana</w:t>
      </w:r>
      <w:r w:rsidRPr="005D55BF">
        <w:t xml:space="preserve"> набор данных содержит ОКВЭД на тот год, когда предоставлена отчетность.  См. </w:t>
      </w:r>
      <w:r w:rsidRPr="005D55BF">
        <w:rPr>
          <w:lang w:val="en-US"/>
        </w:rPr>
        <w:t>https</w:t>
      </w:r>
      <w:r w:rsidRPr="005D55BF">
        <w:t>://</w:t>
      </w:r>
      <w:r w:rsidRPr="005D55BF">
        <w:rPr>
          <w:lang w:val="en-US"/>
        </w:rPr>
        <w:t>rosstat</w:t>
      </w:r>
      <w:r w:rsidRPr="005D55BF">
        <w:t>.</w:t>
      </w:r>
      <w:r w:rsidRPr="005D55BF">
        <w:rPr>
          <w:lang w:val="en-US"/>
        </w:rPr>
        <w:t>gov</w:t>
      </w:r>
      <w:r w:rsidRPr="005D55BF">
        <w:t>.</w:t>
      </w:r>
      <w:r w:rsidRPr="005D55BF">
        <w:rPr>
          <w:lang w:val="en-US"/>
        </w:rPr>
        <w:t>ru</w:t>
      </w:r>
      <w:r w:rsidRPr="005D55BF">
        <w:t>/</w:t>
      </w:r>
      <w:r w:rsidRPr="005D55BF">
        <w:rPr>
          <w:lang w:val="en-US"/>
        </w:rPr>
        <w:t>opendata</w:t>
      </w:r>
      <w:r w:rsidRPr="005D55BF">
        <w:t>?</w:t>
      </w:r>
      <w:r w:rsidRPr="005D55BF">
        <w:rPr>
          <w:lang w:val="en-US"/>
        </w:rPr>
        <w:t>division</w:t>
      </w:r>
      <w:r w:rsidRPr="005D55BF">
        <w:t>=&amp;</w:t>
      </w:r>
      <w:r w:rsidRPr="005D55BF">
        <w:rPr>
          <w:lang w:val="en-US"/>
        </w:rPr>
        <w:t>tag</w:t>
      </w:r>
      <w:r w:rsidRPr="005D55BF">
        <w:t>=13&amp;</w:t>
      </w:r>
      <w:r w:rsidRPr="005D55BF">
        <w:rPr>
          <w:lang w:val="en-US"/>
        </w:rPr>
        <w:t>updated</w:t>
      </w:r>
      <w:r w:rsidRPr="005D55BF">
        <w:t>_</w:t>
      </w:r>
      <w:r w:rsidRPr="005D55BF">
        <w:rPr>
          <w:lang w:val="en-US"/>
        </w:rPr>
        <w:t>from</w:t>
      </w:r>
      <w:r w:rsidRPr="005D55BF">
        <w:t>=&amp;</w:t>
      </w:r>
      <w:r w:rsidRPr="005D55BF">
        <w:rPr>
          <w:lang w:val="en-US"/>
        </w:rPr>
        <w:t>updated</w:t>
      </w:r>
      <w:r w:rsidRPr="005D55BF">
        <w:t>_</w:t>
      </w:r>
      <w:r w:rsidRPr="005D55BF">
        <w:rPr>
          <w:lang w:val="en-US"/>
        </w:rPr>
        <w:t>to</w:t>
      </w:r>
      <w:r w:rsidRPr="005D55BF">
        <w:t>=&amp;</w:t>
      </w:r>
      <w:r w:rsidRPr="005D55BF">
        <w:rPr>
          <w:lang w:val="en-US"/>
        </w:rPr>
        <w:t>search</w:t>
      </w:r>
      <w:r w:rsidRPr="005D55BF">
        <w:t>=&amp;</w:t>
      </w:r>
      <w:r w:rsidRPr="005D55BF">
        <w:rPr>
          <w:lang w:val="en-US"/>
        </w:rPr>
        <w:t>search</w:t>
      </w:r>
      <w:r w:rsidRPr="005D55BF">
        <w:t>_</w:t>
      </w:r>
      <w:r w:rsidRPr="005D55BF">
        <w:rPr>
          <w:lang w:val="en-US"/>
        </w:rPr>
        <w:t>by</w:t>
      </w:r>
      <w:r w:rsidRPr="005D55BF">
        <w:t>_</w:t>
      </w:r>
      <w:r w:rsidRPr="005D55BF">
        <w:rPr>
          <w:lang w:val="en-US"/>
        </w:rPr>
        <w:t>name</w:t>
      </w:r>
      <w:r w:rsidRPr="005D55BF">
        <w:t>=</w:t>
      </w:r>
      <w:r w:rsidRPr="005D55BF">
        <w:rPr>
          <w:lang w:val="en-US"/>
        </w:rPr>
        <w:t>on</w:t>
      </w:r>
      <w:r w:rsidRPr="005D55BF">
        <w:t>&amp;</w:t>
      </w:r>
      <w:r w:rsidRPr="005D55BF">
        <w:rPr>
          <w:lang w:val="en-US"/>
        </w:rPr>
        <w:t>sort</w:t>
      </w:r>
      <w:r w:rsidRPr="005D55BF">
        <w:t>=&amp;</w:t>
      </w:r>
      <w:r w:rsidRPr="005D55BF">
        <w:rPr>
          <w:lang w:val="en-US"/>
        </w:rPr>
        <w:t>per</w:t>
      </w:r>
      <w:r w:rsidRPr="005D55BF">
        <w:t>_</w:t>
      </w:r>
      <w:r w:rsidRPr="005D55BF">
        <w:rPr>
          <w:lang w:val="en-US"/>
        </w:rPr>
        <w:t>page</w:t>
      </w:r>
      <w:r w:rsidRPr="005D55BF">
        <w:t>=10.</w:t>
      </w:r>
    </w:p>
  </w:footnote>
  <w:footnote w:id="3">
    <w:p w14:paraId="06201CF0" w14:textId="77777777" w:rsidR="001F5CD2" w:rsidRPr="005D55BF" w:rsidRDefault="001F5CD2" w:rsidP="001F5CD2">
      <w:pPr>
        <w:pStyle w:val="a6"/>
      </w:pPr>
      <w:r>
        <w:rPr>
          <w:rStyle w:val="a8"/>
        </w:rPr>
        <w:footnoteRef/>
      </w:r>
      <w:r>
        <w:t xml:space="preserve"> </w:t>
      </w:r>
      <w:r w:rsidRPr="005D55BF">
        <w:t xml:space="preserve">Переходные ключи позволяют определить по коду ОКВЭД2 соответствующий ему код ОКВЭД1. Как правило, это соответствие однозначное, либо одному коду ОКВЭД1 соответствует несколько более подробных кодов ОКВЭД2.  См. </w:t>
      </w:r>
      <w:r w:rsidRPr="005D55BF">
        <w:rPr>
          <w:lang w:val="en-US"/>
        </w:rPr>
        <w:t>http</w:t>
      </w:r>
      <w:r w:rsidRPr="005D55BF">
        <w:t>://</w:t>
      </w:r>
      <w:r w:rsidRPr="005D55BF">
        <w:rPr>
          <w:lang w:val="en-US"/>
        </w:rPr>
        <w:t>old</w:t>
      </w:r>
      <w:r w:rsidRPr="005D55BF">
        <w:t>.</w:t>
      </w:r>
      <w:r w:rsidRPr="005D55BF">
        <w:rPr>
          <w:lang w:val="en-US"/>
        </w:rPr>
        <w:t>economy</w:t>
      </w:r>
      <w:r w:rsidRPr="005D55BF">
        <w:t>.</w:t>
      </w:r>
      <w:r w:rsidRPr="005D55BF">
        <w:rPr>
          <w:lang w:val="en-US"/>
        </w:rPr>
        <w:t>gov</w:t>
      </w:r>
      <w:r w:rsidRPr="005D55BF">
        <w:t>.</w:t>
      </w:r>
      <w:r w:rsidRPr="005D55BF">
        <w:rPr>
          <w:lang w:val="en-US"/>
        </w:rPr>
        <w:t>ru</w:t>
      </w:r>
      <w:r w:rsidRPr="005D55BF">
        <w:t>/</w:t>
      </w:r>
      <w:r w:rsidRPr="005D55BF">
        <w:rPr>
          <w:lang w:val="en-US"/>
        </w:rPr>
        <w:t>minec</w:t>
      </w:r>
      <w:r w:rsidRPr="005D55BF">
        <w:t>/</w:t>
      </w:r>
      <w:r w:rsidRPr="005D55BF">
        <w:rPr>
          <w:lang w:val="en-US"/>
        </w:rPr>
        <w:t>activity</w:t>
      </w:r>
      <w:r w:rsidRPr="005D55BF">
        <w:t>/</w:t>
      </w:r>
      <w:r w:rsidRPr="005D55BF">
        <w:rPr>
          <w:lang w:val="en-US"/>
        </w:rPr>
        <w:t>sections</w:t>
      </w:r>
      <w:r w:rsidRPr="005D55BF">
        <w:t>/</w:t>
      </w:r>
      <w:r w:rsidRPr="005D55BF">
        <w:rPr>
          <w:lang w:val="en-US"/>
        </w:rPr>
        <w:t>classificators</w:t>
      </w:r>
      <w:r w:rsidRPr="005D55BF">
        <w:t>/.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5A27"/>
    <w:multiLevelType w:val="hybridMultilevel"/>
    <w:tmpl w:val="9FB8F07C"/>
    <w:lvl w:ilvl="0" w:tplc="772A1B6E">
      <w:start w:val="1"/>
      <w:numFmt w:val="decimal"/>
      <w:lvlText w:val="%1."/>
      <w:lvlJc w:val="left"/>
      <w:pPr>
        <w:ind w:left="1429" w:hanging="360"/>
      </w:pPr>
      <w:rPr>
        <w:b w:val="0"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726E1E"/>
    <w:multiLevelType w:val="hybridMultilevel"/>
    <w:tmpl w:val="7468375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D3382B"/>
    <w:multiLevelType w:val="hybridMultilevel"/>
    <w:tmpl w:val="0360F454"/>
    <w:lvl w:ilvl="0" w:tplc="8A94CB0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b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6427E4E"/>
    <w:multiLevelType w:val="hybridMultilevel"/>
    <w:tmpl w:val="A51CC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14E62"/>
    <w:multiLevelType w:val="hybridMultilevel"/>
    <w:tmpl w:val="A7E8EE9C"/>
    <w:lvl w:ilvl="0" w:tplc="B9A0E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6A1842"/>
    <w:multiLevelType w:val="hybridMultilevel"/>
    <w:tmpl w:val="9FB8F07C"/>
    <w:lvl w:ilvl="0" w:tplc="FFFFFFFF">
      <w:start w:val="1"/>
      <w:numFmt w:val="decimal"/>
      <w:lvlText w:val="%1."/>
      <w:lvlJc w:val="left"/>
      <w:pPr>
        <w:ind w:left="1429" w:hanging="360"/>
      </w:pPr>
      <w:rPr>
        <w:b w:val="0"/>
        <w:b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0B67AD2"/>
    <w:multiLevelType w:val="hybridMultilevel"/>
    <w:tmpl w:val="21007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903C4A"/>
    <w:multiLevelType w:val="hybridMultilevel"/>
    <w:tmpl w:val="2C6CA4F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B9"/>
    <w:rsid w:val="000236A9"/>
    <w:rsid w:val="00037C6A"/>
    <w:rsid w:val="000436AF"/>
    <w:rsid w:val="00047A39"/>
    <w:rsid w:val="000954F2"/>
    <w:rsid w:val="000C07ED"/>
    <w:rsid w:val="000D2EE1"/>
    <w:rsid w:val="000F486A"/>
    <w:rsid w:val="00102B34"/>
    <w:rsid w:val="00120BC2"/>
    <w:rsid w:val="0012385E"/>
    <w:rsid w:val="00135571"/>
    <w:rsid w:val="00164830"/>
    <w:rsid w:val="001A4FE9"/>
    <w:rsid w:val="001B035C"/>
    <w:rsid w:val="001C15AE"/>
    <w:rsid w:val="001E743D"/>
    <w:rsid w:val="001F5CD2"/>
    <w:rsid w:val="001F7DCF"/>
    <w:rsid w:val="0021151D"/>
    <w:rsid w:val="00215DC4"/>
    <w:rsid w:val="00222481"/>
    <w:rsid w:val="002309E7"/>
    <w:rsid w:val="00232F33"/>
    <w:rsid w:val="002345E4"/>
    <w:rsid w:val="00252238"/>
    <w:rsid w:val="002631A2"/>
    <w:rsid w:val="002636B5"/>
    <w:rsid w:val="002658CE"/>
    <w:rsid w:val="0028389A"/>
    <w:rsid w:val="00285980"/>
    <w:rsid w:val="002B2204"/>
    <w:rsid w:val="002C2636"/>
    <w:rsid w:val="002C4E38"/>
    <w:rsid w:val="002D373C"/>
    <w:rsid w:val="002F09BD"/>
    <w:rsid w:val="002F709B"/>
    <w:rsid w:val="00336670"/>
    <w:rsid w:val="00342743"/>
    <w:rsid w:val="00395977"/>
    <w:rsid w:val="003D29E5"/>
    <w:rsid w:val="003E2794"/>
    <w:rsid w:val="003F64ED"/>
    <w:rsid w:val="0040247B"/>
    <w:rsid w:val="00413141"/>
    <w:rsid w:val="00423287"/>
    <w:rsid w:val="004233B6"/>
    <w:rsid w:val="00434D58"/>
    <w:rsid w:val="00442169"/>
    <w:rsid w:val="004C684C"/>
    <w:rsid w:val="004F2FB6"/>
    <w:rsid w:val="005018BF"/>
    <w:rsid w:val="00511ED2"/>
    <w:rsid w:val="0052450D"/>
    <w:rsid w:val="00540CD8"/>
    <w:rsid w:val="005423C7"/>
    <w:rsid w:val="00556553"/>
    <w:rsid w:val="00563E46"/>
    <w:rsid w:val="00567FBD"/>
    <w:rsid w:val="0057362F"/>
    <w:rsid w:val="00575819"/>
    <w:rsid w:val="005A0ECD"/>
    <w:rsid w:val="005A0FE0"/>
    <w:rsid w:val="005B0AD9"/>
    <w:rsid w:val="005B5EB5"/>
    <w:rsid w:val="005D5C6D"/>
    <w:rsid w:val="005E3FB1"/>
    <w:rsid w:val="006129A2"/>
    <w:rsid w:val="006260A5"/>
    <w:rsid w:val="006345A9"/>
    <w:rsid w:val="00657B08"/>
    <w:rsid w:val="006719DA"/>
    <w:rsid w:val="00676AA6"/>
    <w:rsid w:val="006A2A5A"/>
    <w:rsid w:val="006A4C41"/>
    <w:rsid w:val="006E600A"/>
    <w:rsid w:val="00702432"/>
    <w:rsid w:val="00703210"/>
    <w:rsid w:val="00712599"/>
    <w:rsid w:val="00734A7B"/>
    <w:rsid w:val="00752045"/>
    <w:rsid w:val="007741F5"/>
    <w:rsid w:val="00787A07"/>
    <w:rsid w:val="007A49BD"/>
    <w:rsid w:val="007A4F78"/>
    <w:rsid w:val="007B15B6"/>
    <w:rsid w:val="007D33CC"/>
    <w:rsid w:val="007D759B"/>
    <w:rsid w:val="007E59F4"/>
    <w:rsid w:val="007E5DAD"/>
    <w:rsid w:val="0087415E"/>
    <w:rsid w:val="008751E5"/>
    <w:rsid w:val="008842B7"/>
    <w:rsid w:val="00897F1A"/>
    <w:rsid w:val="008B28D3"/>
    <w:rsid w:val="008D1C79"/>
    <w:rsid w:val="008D32C5"/>
    <w:rsid w:val="008D4B9F"/>
    <w:rsid w:val="0090166C"/>
    <w:rsid w:val="00901ABE"/>
    <w:rsid w:val="009140D7"/>
    <w:rsid w:val="00931F72"/>
    <w:rsid w:val="009416B1"/>
    <w:rsid w:val="009426FC"/>
    <w:rsid w:val="0096019E"/>
    <w:rsid w:val="00961CAA"/>
    <w:rsid w:val="00975513"/>
    <w:rsid w:val="009C1902"/>
    <w:rsid w:val="009F2585"/>
    <w:rsid w:val="00A110D2"/>
    <w:rsid w:val="00A32E6F"/>
    <w:rsid w:val="00A348B1"/>
    <w:rsid w:val="00A50E88"/>
    <w:rsid w:val="00A636EB"/>
    <w:rsid w:val="00A666E9"/>
    <w:rsid w:val="00A720C9"/>
    <w:rsid w:val="00A75D23"/>
    <w:rsid w:val="00A83B65"/>
    <w:rsid w:val="00AB3B36"/>
    <w:rsid w:val="00AB61B8"/>
    <w:rsid w:val="00AB75D8"/>
    <w:rsid w:val="00AD292A"/>
    <w:rsid w:val="00AD5A09"/>
    <w:rsid w:val="00AE3820"/>
    <w:rsid w:val="00B020A5"/>
    <w:rsid w:val="00B522A0"/>
    <w:rsid w:val="00B523F3"/>
    <w:rsid w:val="00B82FF9"/>
    <w:rsid w:val="00B90496"/>
    <w:rsid w:val="00BA3701"/>
    <w:rsid w:val="00BD083D"/>
    <w:rsid w:val="00BD3A2D"/>
    <w:rsid w:val="00BE54A3"/>
    <w:rsid w:val="00BE6DCB"/>
    <w:rsid w:val="00BF64C5"/>
    <w:rsid w:val="00C163AD"/>
    <w:rsid w:val="00C273B7"/>
    <w:rsid w:val="00C31E90"/>
    <w:rsid w:val="00C53D19"/>
    <w:rsid w:val="00C624FC"/>
    <w:rsid w:val="00C75A2A"/>
    <w:rsid w:val="00C93BB8"/>
    <w:rsid w:val="00CA34D3"/>
    <w:rsid w:val="00CB2692"/>
    <w:rsid w:val="00CC23B8"/>
    <w:rsid w:val="00CC57FD"/>
    <w:rsid w:val="00CD5E33"/>
    <w:rsid w:val="00D1344F"/>
    <w:rsid w:val="00D163B9"/>
    <w:rsid w:val="00D201E8"/>
    <w:rsid w:val="00D35637"/>
    <w:rsid w:val="00D47C0F"/>
    <w:rsid w:val="00D55CD5"/>
    <w:rsid w:val="00DD2DD6"/>
    <w:rsid w:val="00DE7ECB"/>
    <w:rsid w:val="00E31913"/>
    <w:rsid w:val="00E37E12"/>
    <w:rsid w:val="00E612AB"/>
    <w:rsid w:val="00E71A65"/>
    <w:rsid w:val="00E73C7E"/>
    <w:rsid w:val="00EA3EF4"/>
    <w:rsid w:val="00EC18A2"/>
    <w:rsid w:val="00EE7C16"/>
    <w:rsid w:val="00F211A7"/>
    <w:rsid w:val="00F436EE"/>
    <w:rsid w:val="00F45053"/>
    <w:rsid w:val="00F82626"/>
    <w:rsid w:val="00F974E8"/>
    <w:rsid w:val="00FC0969"/>
    <w:rsid w:val="00FC41CE"/>
    <w:rsid w:val="00FC5DD0"/>
    <w:rsid w:val="00FE2170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46CC07"/>
  <w15:chartTrackingRefBased/>
  <w15:docId w15:val="{F59FA6FE-8095-4D3A-A1D5-299ED664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4A7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734A7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34A7B"/>
    <w:rPr>
      <w:color w:val="605E5C"/>
      <w:shd w:val="clear" w:color="auto" w:fill="E1DFDD"/>
    </w:rPr>
  </w:style>
  <w:style w:type="paragraph" w:styleId="a6">
    <w:name w:val="footnote text"/>
    <w:basedOn w:val="a"/>
    <w:link w:val="a7"/>
    <w:uiPriority w:val="99"/>
    <w:semiHidden/>
    <w:rsid w:val="001F5C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1F5C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1F5CD2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unhideWhenUsed/>
    <w:rsid w:val="00BF64C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64C5"/>
  </w:style>
  <w:style w:type="paragraph" w:styleId="ab">
    <w:name w:val="footer"/>
    <w:basedOn w:val="a"/>
    <w:link w:val="ac"/>
    <w:uiPriority w:val="99"/>
    <w:unhideWhenUsed/>
    <w:rsid w:val="00BF64C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64C5"/>
  </w:style>
  <w:style w:type="paragraph" w:styleId="ad">
    <w:name w:val="No Spacing"/>
    <w:link w:val="ae"/>
    <w:uiPriority w:val="99"/>
    <w:qFormat/>
    <w:rsid w:val="0042328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99"/>
    <w:locked/>
    <w:rsid w:val="0042328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osstat.gov.ru/accou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2FFB9BD-47AF-4D5B-B7EB-ED1F7454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5921</Words>
  <Characters>33753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Цветкова</dc:creator>
  <cp:keywords/>
  <dc:description/>
  <cp:lastModifiedBy>Авдашева Светлана Борисовна</cp:lastModifiedBy>
  <cp:revision>2</cp:revision>
  <dcterms:created xsi:type="dcterms:W3CDTF">2021-11-29T13:42:00Z</dcterms:created>
  <dcterms:modified xsi:type="dcterms:W3CDTF">2021-11-29T13:42:00Z</dcterms:modified>
</cp:coreProperties>
</file>