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4" w:rsidRDefault="00FF6AC4" w:rsidP="00554434">
      <w:pPr>
        <w:spacing w:after="0" w:line="240" w:lineRule="auto"/>
        <w:jc w:val="center"/>
        <w:rPr>
          <w:rFonts w:cs="Arial"/>
        </w:rPr>
      </w:pPr>
      <w:r w:rsidRPr="00004B34">
        <w:rPr>
          <w:rFonts w:cs="Arial"/>
          <w:b/>
        </w:rPr>
        <w:t>ОБРАЗЕЦ</w:t>
      </w:r>
      <w:r>
        <w:rPr>
          <w:rFonts w:cs="Arial"/>
        </w:rPr>
        <w:t xml:space="preserve"> оформления тезисов</w:t>
      </w:r>
    </w:p>
    <w:p w:rsidR="00FF6AC4" w:rsidRDefault="00FF6AC4" w:rsidP="00554434">
      <w:pPr>
        <w:pStyle w:val="1"/>
      </w:pPr>
    </w:p>
    <w:p w:rsidR="00554434" w:rsidRPr="00554434" w:rsidRDefault="00554434" w:rsidP="00554434">
      <w:pPr>
        <w:pStyle w:val="1"/>
      </w:pPr>
      <w:r w:rsidRPr="00554434">
        <w:t>Эконометрическое моделирование риска девиантного финансового поведения</w:t>
      </w:r>
    </w:p>
    <w:p w:rsidR="00554434" w:rsidRPr="005C1297" w:rsidRDefault="00554434" w:rsidP="00554434">
      <w:pPr>
        <w:tabs>
          <w:tab w:val="left" w:pos="840"/>
        </w:tabs>
        <w:autoSpaceDE w:val="0"/>
        <w:autoSpaceDN w:val="0"/>
        <w:spacing w:after="0" w:line="240" w:lineRule="auto"/>
        <w:jc w:val="center"/>
        <w:rPr>
          <w:b/>
          <w:caps/>
          <w:szCs w:val="20"/>
        </w:rPr>
      </w:pPr>
    </w:p>
    <w:p w:rsidR="00554434" w:rsidRPr="005C1297" w:rsidRDefault="00554434" w:rsidP="00554434">
      <w:pPr>
        <w:tabs>
          <w:tab w:val="left" w:pos="840"/>
        </w:tabs>
        <w:autoSpaceDE w:val="0"/>
        <w:autoSpaceDN w:val="0"/>
        <w:spacing w:after="0" w:line="240" w:lineRule="auto"/>
        <w:jc w:val="right"/>
        <w:rPr>
          <w:b/>
          <w:color w:val="000000"/>
          <w:szCs w:val="20"/>
        </w:rPr>
      </w:pPr>
      <w:r w:rsidRPr="005C1297">
        <w:rPr>
          <w:b/>
          <w:color w:val="000000"/>
          <w:szCs w:val="20"/>
        </w:rPr>
        <w:t>Ниворожкина</w:t>
      </w:r>
      <w:r w:rsidR="00311591">
        <w:rPr>
          <w:b/>
          <w:color w:val="000000"/>
          <w:szCs w:val="20"/>
        </w:rPr>
        <w:t xml:space="preserve"> </w:t>
      </w:r>
      <w:r w:rsidRPr="005C1297">
        <w:rPr>
          <w:b/>
          <w:color w:val="000000"/>
          <w:szCs w:val="20"/>
        </w:rPr>
        <w:t>Л.И.</w:t>
      </w:r>
    </w:p>
    <w:p w:rsidR="00554434" w:rsidRPr="005C1297" w:rsidRDefault="00554434" w:rsidP="00554434">
      <w:pPr>
        <w:tabs>
          <w:tab w:val="left" w:pos="840"/>
        </w:tabs>
        <w:autoSpaceDE w:val="0"/>
        <w:autoSpaceDN w:val="0"/>
        <w:spacing w:after="0" w:line="240" w:lineRule="auto"/>
        <w:jc w:val="right"/>
        <w:rPr>
          <w:b/>
          <w:color w:val="000000"/>
          <w:szCs w:val="20"/>
        </w:rPr>
      </w:pPr>
    </w:p>
    <w:p w:rsidR="00554434" w:rsidRDefault="004456D9" w:rsidP="00554434">
      <w:pPr>
        <w:spacing w:after="0" w:line="240" w:lineRule="auto"/>
        <w:ind w:firstLine="426"/>
        <w:jc w:val="both"/>
        <w:rPr>
          <w:szCs w:val="20"/>
        </w:rPr>
      </w:pPr>
      <w:r w:rsidRPr="004456D9">
        <w:rPr>
          <w:rFonts w:eastAsia="Times New Roman"/>
          <w:szCs w:val="20"/>
          <w:lang w:eastAsia="ru-RU"/>
        </w:rPr>
        <w:t xml:space="preserve">Подход к оценке функции риска может быть реализован на основе системы совместных уравнений с учетом таких методологических проблем как ненаблюдаемая гетерогенность, смещение вследствие пропущенных переменных и эндогенность. </w:t>
      </w:r>
      <w:r w:rsidR="00554434" w:rsidRPr="005C1297">
        <w:rPr>
          <w:szCs w:val="20"/>
        </w:rPr>
        <w:t xml:space="preserve">Поведенческая модель в этом случае может быть реализована на основе эконометрической модели относительного изменения </w:t>
      </w:r>
      <w:r w:rsidR="00554434">
        <w:rPr>
          <w:szCs w:val="20"/>
        </w:rPr>
        <w:t>уровня риска нарушения принятых норм и правил финансового поведения</w:t>
      </w:r>
      <w:r w:rsidR="00554434" w:rsidRPr="005C1297">
        <w:rPr>
          <w:szCs w:val="20"/>
        </w:rPr>
        <w:t>, принимающей форму рекурсивной системы уравнений [</w:t>
      </w:r>
      <w:r w:rsidR="00D033FD">
        <w:rPr>
          <w:szCs w:val="20"/>
        </w:rPr>
        <w:t>2</w:t>
      </w:r>
      <w:r w:rsidR="00554434" w:rsidRPr="005C1297">
        <w:rPr>
          <w:szCs w:val="20"/>
        </w:rPr>
        <w:t xml:space="preserve">]. Модель состоит из уравнений структурной формы относительного </w:t>
      </w:r>
      <w:r w:rsidR="00554434">
        <w:rPr>
          <w:szCs w:val="20"/>
        </w:rPr>
        <w:t>риска нарушения правовых финансовых норм и правил</w:t>
      </w:r>
      <w:r w:rsidR="00554434" w:rsidRPr="005C1297">
        <w:rPr>
          <w:szCs w:val="20"/>
        </w:rPr>
        <w:t>(</w:t>
      </w:r>
      <w:r w:rsidR="00554434" w:rsidRPr="005C1297">
        <w:rPr>
          <w:i/>
          <w:szCs w:val="20"/>
          <w:lang w:val="en-US"/>
        </w:rPr>
        <w:t>w</w:t>
      </w:r>
      <w:r w:rsidR="00554434" w:rsidRPr="005C1297">
        <w:rPr>
          <w:szCs w:val="20"/>
        </w:rPr>
        <w:t xml:space="preserve">), </w:t>
      </w:r>
      <w:r w:rsidR="00554434" w:rsidRPr="00F11200">
        <w:rPr>
          <w:szCs w:val="20"/>
        </w:rPr>
        <w:t xml:space="preserve">субъективной оценки допустимости нарушения правовых финансовых норм </w:t>
      </w:r>
      <w:r w:rsidR="00554434" w:rsidRPr="005C1297">
        <w:rPr>
          <w:szCs w:val="20"/>
        </w:rPr>
        <w:t>(</w:t>
      </w:r>
      <w:r w:rsidR="00554434" w:rsidRPr="005C1297">
        <w:rPr>
          <w:i/>
          <w:szCs w:val="20"/>
          <w:lang w:val="en-US"/>
        </w:rPr>
        <w:t>s</w:t>
      </w:r>
      <w:r w:rsidR="00554434" w:rsidRPr="005C1297">
        <w:rPr>
          <w:szCs w:val="20"/>
        </w:rPr>
        <w:t>) и редуцированной формы сравнений типов финансового поведения (</w:t>
      </w:r>
      <w:r w:rsidR="00554434" w:rsidRPr="005C1297">
        <w:rPr>
          <w:i/>
          <w:szCs w:val="20"/>
          <w:lang w:val="en-US"/>
        </w:rPr>
        <w:t>f</w:t>
      </w:r>
      <w:r w:rsidR="00554434" w:rsidRPr="005C1297">
        <w:rPr>
          <w:szCs w:val="20"/>
        </w:rPr>
        <w:t>):</w:t>
      </w:r>
    </w:p>
    <w:p w:rsidR="00565965" w:rsidRPr="00565965" w:rsidRDefault="00565965" w:rsidP="00554434">
      <w:pPr>
        <w:spacing w:after="0" w:line="240" w:lineRule="auto"/>
        <w:ind w:firstLine="426"/>
        <w:jc w:val="both"/>
        <w:rPr>
          <w:rFonts w:eastAsiaTheme="minorEastAsia"/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w=π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s,f,x,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w</m:t>
                  </m:r>
                </m:sub>
              </m:sSub>
            </m:e>
          </m:d>
        </m:oMath>
      </m:oMathPara>
    </w:p>
    <w:p w:rsidR="00565965" w:rsidRDefault="00565965" w:rsidP="00554434">
      <w:pPr>
        <w:spacing w:after="0" w:line="240" w:lineRule="auto"/>
        <w:ind w:firstLine="426"/>
        <w:jc w:val="both"/>
        <w:rPr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s= s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f, x,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szCs w:val="20"/>
                    </w:rPr>
                    <m:t>s</m:t>
                  </m:r>
                </m:sub>
              </m:sSub>
            </m:e>
          </m:d>
        </m:oMath>
      </m:oMathPara>
    </w:p>
    <w:p w:rsidR="00565965" w:rsidRPr="005C1297" w:rsidRDefault="00565965" w:rsidP="00554434">
      <w:pPr>
        <w:spacing w:after="0" w:line="240" w:lineRule="auto"/>
        <w:ind w:firstLine="426"/>
        <w:jc w:val="both"/>
        <w:rPr>
          <w:szCs w:val="20"/>
        </w:rPr>
      </w:pPr>
      <m:oMathPara>
        <m:oMath>
          <m:r>
            <w:rPr>
              <w:rFonts w:ascii="Cambria Math" w:hAnsi="Cambria Math"/>
              <w:szCs w:val="20"/>
            </w:rPr>
            <m:t>f=</m:t>
          </m:r>
          <m:d>
            <m:dPr>
              <m:ctrlPr>
                <w:rPr>
                  <w:rFonts w:ascii="Cambria Math" w:hAnsi="Cambria Math"/>
                  <w:i/>
                  <w:szCs w:val="20"/>
                </w:rPr>
              </m:ctrlPr>
            </m:dPr>
            <m:e>
              <m:r>
                <w:rPr>
                  <w:rFonts w:ascii="Cambria Math" w:hAnsi="Cambria Math"/>
                  <w:szCs w:val="20"/>
                </w:rPr>
                <m:t>x,μ</m:t>
              </m:r>
            </m:e>
          </m:d>
        </m:oMath>
      </m:oMathPara>
    </w:p>
    <w:p w:rsidR="00554434" w:rsidRDefault="00554434" w:rsidP="00565965">
      <w:pPr>
        <w:spacing w:after="0" w:line="240" w:lineRule="auto"/>
        <w:jc w:val="both"/>
        <w:rPr>
          <w:rFonts w:eastAsiaTheme="minorEastAsia"/>
          <w:szCs w:val="20"/>
        </w:rPr>
      </w:pPr>
      <w:r w:rsidRPr="005C1297">
        <w:rPr>
          <w:szCs w:val="20"/>
        </w:rPr>
        <w:t xml:space="preserve">где </w:t>
      </w:r>
      <m:oMath>
        <m:r>
          <w:rPr>
            <w:rFonts w:ascii="Cambria Math" w:hAnsi="Cambria Math"/>
            <w:szCs w:val="20"/>
          </w:rPr>
          <m:t>x</m:t>
        </m:r>
      </m:oMath>
      <w:r w:rsidRPr="005C1297">
        <w:rPr>
          <w:rFonts w:eastAsiaTheme="minorEastAsia"/>
          <w:szCs w:val="20"/>
        </w:rPr>
        <w:t xml:space="preserve"> – вектор всех наблюдаемых экзогенных переменных в модели, а </w:t>
      </w:r>
      <m:oMath>
        <m:r>
          <w:rPr>
            <w:rFonts w:ascii="Cambria Math" w:eastAsiaTheme="minorEastAsia" w:hAnsi="Cambria Math"/>
            <w:szCs w:val="20"/>
          </w:rPr>
          <m:t>μ</m:t>
        </m:r>
      </m:oMath>
      <w:r w:rsidRPr="005C1297">
        <w:rPr>
          <w:rFonts w:eastAsiaTheme="minorEastAsia"/>
          <w:szCs w:val="20"/>
        </w:rPr>
        <w:t xml:space="preserve"> – включает ненаблюдаемые факторы, которые воздействуют и на риск </w:t>
      </w:r>
      <w:r>
        <w:rPr>
          <w:rFonts w:eastAsiaTheme="minorEastAsia"/>
          <w:szCs w:val="20"/>
        </w:rPr>
        <w:t xml:space="preserve">изменения относительного </w:t>
      </w:r>
      <w:r w:rsidRPr="005C1297">
        <w:rPr>
          <w:rFonts w:eastAsiaTheme="minorEastAsia"/>
          <w:szCs w:val="20"/>
        </w:rPr>
        <w:t>уровня</w:t>
      </w:r>
      <w:r>
        <w:rPr>
          <w:rFonts w:eastAsiaTheme="minorEastAsia"/>
          <w:szCs w:val="20"/>
        </w:rPr>
        <w:t xml:space="preserve"> нарушений норм финансового поведения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>w</m:t>
            </m:r>
          </m:sub>
        </m:sSub>
      </m:oMath>
      <w:r w:rsidRPr="005C1297">
        <w:rPr>
          <w:rFonts w:eastAsiaTheme="minorEastAsia"/>
          <w:szCs w:val="20"/>
        </w:rPr>
        <w:t>,и на риск</w:t>
      </w:r>
      <w:r>
        <w:rPr>
          <w:rFonts w:eastAsiaTheme="minorEastAsia"/>
          <w:szCs w:val="20"/>
        </w:rPr>
        <w:t xml:space="preserve"> субъективного отношения к нарушению норм финансового поведения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0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</w:rPr>
              <m:t>μ</m:t>
            </m:r>
          </m:e>
          <m:sub>
            <m:r>
              <w:rPr>
                <w:rFonts w:ascii="Cambria Math" w:eastAsiaTheme="minorEastAsia" w:hAnsi="Cambria Math"/>
                <w:szCs w:val="20"/>
              </w:rPr>
              <m:t xml:space="preserve">s </m:t>
            </m:r>
          </m:sub>
        </m:sSub>
        <m:r>
          <w:rPr>
            <w:rFonts w:ascii="Cambria Math" w:eastAsiaTheme="minorEastAsia" w:hAnsi="Cambria Math"/>
            <w:szCs w:val="20"/>
          </w:rPr>
          <m:t xml:space="preserve"> , </m:t>
        </m:r>
      </m:oMath>
      <w:r w:rsidRPr="005C1297">
        <w:rPr>
          <w:rFonts w:eastAsiaTheme="minorEastAsia"/>
          <w:szCs w:val="20"/>
        </w:rPr>
        <w:t xml:space="preserve">и на функцию финансового поведения </w:t>
      </w:r>
      <m:oMath>
        <m:r>
          <w:rPr>
            <w:rFonts w:ascii="Cambria Math" w:eastAsiaTheme="minorEastAsia" w:hAnsi="Cambria Math"/>
            <w:szCs w:val="20"/>
          </w:rPr>
          <m:t>μ</m:t>
        </m:r>
      </m:oMath>
      <w:r w:rsidRPr="005C1297">
        <w:rPr>
          <w:rFonts w:eastAsiaTheme="minorEastAsia"/>
          <w:szCs w:val="20"/>
        </w:rPr>
        <w:t>.</w:t>
      </w:r>
    </w:p>
    <w:p w:rsidR="00554434" w:rsidRDefault="00565965" w:rsidP="00554434">
      <w:pPr>
        <w:spacing w:after="0" w:line="240" w:lineRule="auto"/>
        <w:ind w:firstLine="426"/>
        <w:jc w:val="both"/>
        <w:rPr>
          <w:rFonts w:eastAsiaTheme="minorEastAsia"/>
          <w:szCs w:val="20"/>
        </w:rPr>
      </w:pPr>
      <w:r>
        <w:rPr>
          <w:rFonts w:eastAsiaTheme="minorEastAsia"/>
          <w:szCs w:val="20"/>
        </w:rPr>
        <w:t>…</w:t>
      </w:r>
      <w:r w:rsidR="0077558E">
        <w:rPr>
          <w:rFonts w:eastAsiaTheme="minorEastAsia"/>
          <w:szCs w:val="20"/>
        </w:rPr>
        <w:t>…………………………………………………………………………………………………………………..</w:t>
      </w:r>
    </w:p>
    <w:p w:rsidR="00554434" w:rsidRPr="00F76ED1" w:rsidRDefault="00554434" w:rsidP="00554434">
      <w:pPr>
        <w:spacing w:after="0" w:line="240" w:lineRule="auto"/>
        <w:ind w:firstLine="426"/>
        <w:jc w:val="both"/>
        <w:rPr>
          <w:rFonts w:eastAsiaTheme="minorEastAsia"/>
          <w:szCs w:val="20"/>
        </w:rPr>
      </w:pPr>
      <w:r w:rsidRPr="00524A78">
        <w:rPr>
          <w:rFonts w:eastAsiaTheme="minorEastAsia"/>
          <w:szCs w:val="20"/>
        </w:rPr>
        <w:t>На основе полученных оценок</w:t>
      </w:r>
      <w:r w:rsidRPr="00F76ED1">
        <w:rPr>
          <w:rFonts w:eastAsiaTheme="minorEastAsia"/>
          <w:szCs w:val="20"/>
        </w:rPr>
        <w:t xml:space="preserve"> можно составить «портреты» лиц с наибольшим уровнем каждого </w:t>
      </w:r>
      <w:r w:rsidRPr="00F11200">
        <w:rPr>
          <w:rFonts w:eastAsiaTheme="minorEastAsia"/>
          <w:szCs w:val="20"/>
        </w:rPr>
        <w:t xml:space="preserve">риска посредством вычисления маргинальных вероятностей наличия у </w:t>
      </w:r>
      <w:r>
        <w:rPr>
          <w:rFonts w:eastAsiaTheme="minorEastAsia"/>
          <w:szCs w:val="20"/>
        </w:rPr>
        <w:t>индивида</w:t>
      </w:r>
      <w:r w:rsidRPr="00F11200">
        <w:rPr>
          <w:rFonts w:eastAsiaTheme="minorEastAsia"/>
          <w:szCs w:val="20"/>
        </w:rPr>
        <w:t xml:space="preserve"> отдельных факторов риска либо совместной вероятности их наличия или отсутствия</w:t>
      </w:r>
      <w:r w:rsidR="00565965">
        <w:rPr>
          <w:rFonts w:eastAsiaTheme="minorEastAsia"/>
          <w:szCs w:val="20"/>
        </w:rPr>
        <w:t>.</w:t>
      </w:r>
    </w:p>
    <w:p w:rsidR="00554434" w:rsidRDefault="00554434" w:rsidP="00554434">
      <w:pPr>
        <w:spacing w:after="0" w:line="240" w:lineRule="auto"/>
        <w:ind w:left="-284"/>
        <w:jc w:val="both"/>
        <w:rPr>
          <w:rFonts w:eastAsiaTheme="minorEastAsia"/>
          <w:b/>
          <w:szCs w:val="20"/>
        </w:rPr>
      </w:pPr>
    </w:p>
    <w:p w:rsidR="0077558E" w:rsidRPr="0077558E" w:rsidRDefault="0077558E" w:rsidP="0077558E">
      <w:pPr>
        <w:pStyle w:val="a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77558E">
        <w:rPr>
          <w:rFonts w:eastAsia="Times New Roman"/>
          <w:color w:val="000000"/>
          <w:lang w:val="ru-RU" w:eastAsia="ru-RU"/>
        </w:rPr>
        <w:t xml:space="preserve">Статистическая методология оценки рисков финансового поведения: моног. / Л.И.Ниворожкина, Т.Г.Синявская. – Ростов н/Д, Изд. </w:t>
      </w:r>
      <w:r w:rsidRPr="0077558E">
        <w:rPr>
          <w:rFonts w:eastAsia="Times New Roman"/>
          <w:color w:val="000000"/>
          <w:lang w:eastAsia="ru-RU"/>
        </w:rPr>
        <w:t>РГЭУ, 2016.– 132 с.</w:t>
      </w:r>
    </w:p>
    <w:p w:rsidR="0077558E" w:rsidRDefault="0077558E" w:rsidP="0077558E">
      <w:pPr>
        <w:pStyle w:val="a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  <w:r w:rsidRPr="0077558E">
        <w:rPr>
          <w:rFonts w:eastAsia="Times New Roman"/>
          <w:color w:val="000000"/>
          <w:lang w:eastAsia="ru-RU"/>
        </w:rPr>
        <w:t>Ashford J., Sowden R. (1970). Multivariate probit analysis. Biometrics, 26 (3), 535–546.</w:t>
      </w:r>
    </w:p>
    <w:p w:rsidR="00831516" w:rsidRDefault="00831516" w:rsidP="0077558E">
      <w:pPr>
        <w:pStyle w:val="a"/>
        <w:numPr>
          <w:ilvl w:val="0"/>
          <w:numId w:val="5"/>
        </w:numPr>
        <w:rPr>
          <w:rFonts w:eastAsia="Times New Roman"/>
          <w:color w:val="000000"/>
          <w:lang w:eastAsia="ru-RU"/>
        </w:rPr>
      </w:pPr>
    </w:p>
    <w:p w:rsidR="00831516" w:rsidRPr="00831516" w:rsidRDefault="00831516" w:rsidP="00831516">
      <w:pPr>
        <w:rPr>
          <w:rFonts w:eastAsia="Times New Roman"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color w:val="000000"/>
          <w:lang w:eastAsia="ru-RU"/>
        </w:rPr>
        <w:t xml:space="preserve"> 4.</w:t>
      </w:r>
    </w:p>
    <w:p w:rsidR="00831516" w:rsidRPr="00831516" w:rsidRDefault="00831516" w:rsidP="00831516">
      <w:pPr>
        <w:rPr>
          <w:rFonts w:eastAsia="Times New Roman"/>
          <w:color w:val="000000"/>
          <w:lang w:eastAsia="ru-RU"/>
        </w:rPr>
      </w:pPr>
    </w:p>
    <w:p w:rsidR="0077558E" w:rsidRPr="0077558E" w:rsidRDefault="0077558E" w:rsidP="0077558E">
      <w:pPr>
        <w:spacing w:after="0" w:line="240" w:lineRule="auto"/>
        <w:ind w:left="-284"/>
        <w:jc w:val="both"/>
        <w:rPr>
          <w:rFonts w:eastAsia="Times New Roman"/>
          <w:color w:val="000000"/>
          <w:szCs w:val="20"/>
          <w:lang w:val="en-US" w:eastAsia="ru-RU"/>
        </w:rPr>
      </w:pPr>
    </w:p>
    <w:p w:rsidR="004456D9" w:rsidRDefault="004456D9" w:rsidP="004456D9">
      <w:pPr>
        <w:pStyle w:val="a"/>
        <w:numPr>
          <w:ilvl w:val="0"/>
          <w:numId w:val="0"/>
        </w:numPr>
        <w:ind w:left="284"/>
        <w:rPr>
          <w:color w:val="000000"/>
        </w:rPr>
      </w:pPr>
    </w:p>
    <w:sectPr w:rsidR="004456D9" w:rsidSect="009B45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22" w:rsidRDefault="00CE5B22" w:rsidP="00554434">
      <w:pPr>
        <w:spacing w:after="0" w:line="240" w:lineRule="auto"/>
      </w:pPr>
      <w:r>
        <w:separator/>
      </w:r>
    </w:p>
  </w:endnote>
  <w:endnote w:type="continuationSeparator" w:id="1">
    <w:p w:rsidR="00CE5B22" w:rsidRDefault="00CE5B22" w:rsidP="005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22" w:rsidRDefault="00CE5B22" w:rsidP="00554434">
      <w:pPr>
        <w:spacing w:after="0" w:line="240" w:lineRule="auto"/>
      </w:pPr>
      <w:r>
        <w:separator/>
      </w:r>
    </w:p>
  </w:footnote>
  <w:footnote w:type="continuationSeparator" w:id="1">
    <w:p w:rsidR="00CE5B22" w:rsidRDefault="00CE5B22" w:rsidP="0055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5CF4"/>
    <w:multiLevelType w:val="hybridMultilevel"/>
    <w:tmpl w:val="C5DAE5E0"/>
    <w:lvl w:ilvl="0" w:tplc="57DE732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07247"/>
    <w:multiLevelType w:val="hybridMultilevel"/>
    <w:tmpl w:val="329E5DCA"/>
    <w:lvl w:ilvl="0" w:tplc="D01C5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7E20"/>
    <w:multiLevelType w:val="hybridMultilevel"/>
    <w:tmpl w:val="50C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2EC0"/>
    <w:multiLevelType w:val="hybridMultilevel"/>
    <w:tmpl w:val="8EBE8C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6B44875"/>
    <w:multiLevelType w:val="hybridMultilevel"/>
    <w:tmpl w:val="0422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AC4"/>
    <w:rsid w:val="000234AC"/>
    <w:rsid w:val="000A263B"/>
    <w:rsid w:val="000A69C0"/>
    <w:rsid w:val="002C4ADA"/>
    <w:rsid w:val="00311591"/>
    <w:rsid w:val="004456D9"/>
    <w:rsid w:val="004461A4"/>
    <w:rsid w:val="004D34F1"/>
    <w:rsid w:val="00554434"/>
    <w:rsid w:val="00565965"/>
    <w:rsid w:val="005B1DB6"/>
    <w:rsid w:val="006C5E4A"/>
    <w:rsid w:val="0077558E"/>
    <w:rsid w:val="00831516"/>
    <w:rsid w:val="009A7F1E"/>
    <w:rsid w:val="009B453A"/>
    <w:rsid w:val="00B52D61"/>
    <w:rsid w:val="00CE5B22"/>
    <w:rsid w:val="00D033FD"/>
    <w:rsid w:val="00D413F4"/>
    <w:rsid w:val="00DC6483"/>
    <w:rsid w:val="00F44786"/>
    <w:rsid w:val="00FF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AC4"/>
    <w:pPr>
      <w:spacing w:after="160" w:line="259" w:lineRule="auto"/>
    </w:pPr>
    <w:rPr>
      <w:rFonts w:ascii="Times New Roman" w:hAnsi="Times New Roman" w:cs="Times New Roman"/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F6AC4"/>
    <w:p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6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FF6AC4"/>
    <w:rPr>
      <w:color w:val="0563C1" w:themeColor="hyperlink"/>
      <w:u w:val="single"/>
    </w:rPr>
  </w:style>
  <w:style w:type="paragraph" w:styleId="a">
    <w:name w:val="List Paragraph"/>
    <w:basedOn w:val="a0"/>
    <w:uiPriority w:val="34"/>
    <w:qFormat/>
    <w:rsid w:val="00FF6AC4"/>
    <w:pPr>
      <w:numPr>
        <w:numId w:val="2"/>
      </w:numPr>
      <w:spacing w:after="0" w:line="240" w:lineRule="auto"/>
      <w:ind w:left="284" w:hanging="284"/>
      <w:contextualSpacing/>
      <w:jc w:val="both"/>
    </w:pPr>
    <w:rPr>
      <w:szCs w:val="20"/>
      <w:lang w:val="en-US"/>
    </w:r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Текст сноски Знак3,Текст сноски Знак2 Знак,F,Andy+"/>
    <w:basedOn w:val="a0"/>
    <w:link w:val="a6"/>
    <w:unhideWhenUsed/>
    <w:rsid w:val="00554434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1"/>
    <w:link w:val="a5"/>
    <w:rsid w:val="00554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Ciae niinee 1"/>
    <w:basedOn w:val="a1"/>
    <w:uiPriority w:val="99"/>
    <w:unhideWhenUsed/>
    <w:rsid w:val="00554434"/>
    <w:rPr>
      <w:vertAlign w:val="superscript"/>
    </w:rPr>
  </w:style>
  <w:style w:type="table" w:styleId="a8">
    <w:name w:val="Table Grid"/>
    <w:basedOn w:val="a2"/>
    <w:uiPriority w:val="59"/>
    <w:rsid w:val="005544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uiPriority w:val="99"/>
    <w:semiHidden/>
    <w:unhideWhenUsed/>
    <w:rsid w:val="00554434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554434"/>
    <w:rPr>
      <w:color w:val="605E5C"/>
      <w:shd w:val="clear" w:color="auto" w:fill="E1DFDD"/>
    </w:rPr>
  </w:style>
  <w:style w:type="paragraph" w:styleId="aa">
    <w:name w:val="Balloon Text"/>
    <w:basedOn w:val="a0"/>
    <w:link w:val="ab"/>
    <w:uiPriority w:val="99"/>
    <w:semiHidden/>
    <w:unhideWhenUsed/>
    <w:rsid w:val="0044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461A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uiPriority w:val="59"/>
    <w:rsid w:val="004456D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Лилия</cp:lastModifiedBy>
  <cp:revision>10</cp:revision>
  <dcterms:created xsi:type="dcterms:W3CDTF">2022-01-13T11:47:00Z</dcterms:created>
  <dcterms:modified xsi:type="dcterms:W3CDTF">2022-01-20T08:46:00Z</dcterms:modified>
</cp:coreProperties>
</file>