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AD" w:rsidRPr="00B60B17" w:rsidRDefault="005C6076" w:rsidP="00B60B17">
      <w:pPr>
        <w:jc w:val="center"/>
      </w:pPr>
      <w:r w:rsidRPr="00B60B17">
        <w:t>Федеральное государственное автономное образовательное</w:t>
      </w:r>
    </w:p>
    <w:p w:rsidR="005C6076" w:rsidRPr="00B60B17" w:rsidRDefault="005C6076" w:rsidP="00B60B17">
      <w:pPr>
        <w:jc w:val="center"/>
      </w:pPr>
    </w:p>
    <w:p w:rsidR="005C6076" w:rsidRPr="00B60B17" w:rsidRDefault="005C6076" w:rsidP="00B60B17">
      <w:pPr>
        <w:jc w:val="center"/>
      </w:pPr>
      <w:r w:rsidRPr="00B60B17">
        <w:t>учреждение высшего образования</w:t>
      </w:r>
    </w:p>
    <w:p w:rsidR="005C6076" w:rsidRPr="00B60B17" w:rsidRDefault="005C6076" w:rsidP="00B60B17">
      <w:pPr>
        <w:jc w:val="center"/>
      </w:pPr>
    </w:p>
    <w:p w:rsidR="00496A84" w:rsidRPr="00B60B17" w:rsidRDefault="00496A84" w:rsidP="00B60B17">
      <w:pPr>
        <w:jc w:val="center"/>
      </w:pPr>
      <w:r w:rsidRPr="00B60B17">
        <w:t>«Национальный исследовательский университет</w:t>
      </w:r>
    </w:p>
    <w:p w:rsidR="00496A84" w:rsidRPr="00B60B17" w:rsidRDefault="00496A84" w:rsidP="00B60B17">
      <w:pPr>
        <w:jc w:val="center"/>
      </w:pPr>
    </w:p>
    <w:p w:rsidR="00496A84" w:rsidRPr="00B60B17" w:rsidRDefault="00496A84" w:rsidP="00B60B17">
      <w:pPr>
        <w:jc w:val="center"/>
      </w:pPr>
      <w:r w:rsidRPr="00B60B17">
        <w:t>«Высшая школа экономики»</w:t>
      </w:r>
    </w:p>
    <w:p w:rsidR="00172DAD" w:rsidRPr="00B60B17" w:rsidRDefault="00172DAD" w:rsidP="00B60B17"/>
    <w:p w:rsidR="00172DAD" w:rsidRPr="00B60B17" w:rsidRDefault="00172DAD" w:rsidP="00B60B17">
      <w:pPr>
        <w:jc w:val="right"/>
      </w:pPr>
    </w:p>
    <w:p w:rsidR="00172DAD" w:rsidRPr="00B60B17" w:rsidRDefault="00172DAD" w:rsidP="00B60B17">
      <w:pPr>
        <w:jc w:val="right"/>
        <w:rPr>
          <w:i/>
        </w:rPr>
      </w:pPr>
      <w:r w:rsidRPr="00B60B17">
        <w:rPr>
          <w:i/>
        </w:rPr>
        <w:t xml:space="preserve">На правах рукописи </w:t>
      </w:r>
    </w:p>
    <w:p w:rsidR="00172DAD" w:rsidRPr="00B60B17" w:rsidRDefault="00172DAD" w:rsidP="00B60B17"/>
    <w:p w:rsidR="00172DAD" w:rsidRPr="00B60B17" w:rsidRDefault="00172DAD" w:rsidP="00B60B17"/>
    <w:p w:rsidR="00172DAD" w:rsidRPr="00B60B17" w:rsidRDefault="00172DAD" w:rsidP="00B60B17">
      <w:pPr>
        <w:jc w:val="center"/>
      </w:pPr>
      <w:proofErr w:type="spellStart"/>
      <w:r w:rsidRPr="00B60B17">
        <w:t>Бесстремянная</w:t>
      </w:r>
      <w:proofErr w:type="spellEnd"/>
      <w:r w:rsidRPr="00B60B17">
        <w:t xml:space="preserve"> Галина Евгеньевна</w:t>
      </w:r>
    </w:p>
    <w:p w:rsidR="00172DAD" w:rsidRPr="00B60B17" w:rsidRDefault="00172DAD" w:rsidP="00B60B17">
      <w:pPr>
        <w:jc w:val="center"/>
      </w:pPr>
    </w:p>
    <w:p w:rsidR="00172DAD" w:rsidRPr="00B60B17" w:rsidRDefault="00172DAD" w:rsidP="00B60B17">
      <w:pPr>
        <w:jc w:val="center"/>
      </w:pPr>
    </w:p>
    <w:p w:rsidR="00172DAD" w:rsidRPr="00B60B17" w:rsidRDefault="00172DAD" w:rsidP="00B60B17">
      <w:pPr>
        <w:jc w:val="center"/>
      </w:pPr>
    </w:p>
    <w:p w:rsidR="00172DAD" w:rsidRPr="00B60B17" w:rsidRDefault="0014233B" w:rsidP="00B60B17">
      <w:pPr>
        <w:jc w:val="center"/>
      </w:pPr>
      <w:r w:rsidRPr="00B60B17">
        <w:rPr>
          <w:lang w:eastAsia="ja-JP"/>
        </w:rPr>
        <w:t>ЭКОНОМ</w:t>
      </w:r>
      <w:r w:rsidR="00496A84" w:rsidRPr="00B60B17">
        <w:rPr>
          <w:lang w:eastAsia="ja-JP"/>
        </w:rPr>
        <w:t>ЕТРИЧЕСКИЕ МОДЕЛИ ДЛЯ АНАЛИЗА Г</w:t>
      </w:r>
      <w:r w:rsidR="00496A84" w:rsidRPr="00B60B17">
        <w:t>ЕТЕРОГЕННОСТИ ЭКОНОМИЧЕСКИХ АГЕНТОВ</w:t>
      </w:r>
    </w:p>
    <w:p w:rsidR="00496A84" w:rsidRPr="00B60B17" w:rsidRDefault="00496A84" w:rsidP="00B60B17">
      <w:pPr>
        <w:jc w:val="center"/>
      </w:pPr>
    </w:p>
    <w:p w:rsidR="00172DAD" w:rsidRPr="00B60B17" w:rsidRDefault="00172DAD" w:rsidP="00B60B17">
      <w:pPr>
        <w:spacing w:line="360" w:lineRule="auto"/>
        <w:jc w:val="center"/>
      </w:pPr>
      <w:r w:rsidRPr="00B60B17">
        <w:t>Специальность 08.00.13. –</w:t>
      </w:r>
    </w:p>
    <w:p w:rsidR="0014233B" w:rsidRPr="00B60B17" w:rsidRDefault="00172DAD" w:rsidP="00B60B17">
      <w:pPr>
        <w:spacing w:line="360" w:lineRule="auto"/>
        <w:jc w:val="center"/>
      </w:pPr>
      <w:r w:rsidRPr="00B60B17">
        <w:t>Математические и инструментальные методы экономик</w:t>
      </w:r>
      <w:r w:rsidR="00EB2B19" w:rsidRPr="00B60B17">
        <w:t>и</w:t>
      </w:r>
      <w:r w:rsidR="0014233B" w:rsidRPr="00B60B17">
        <w:t xml:space="preserve"> </w:t>
      </w:r>
    </w:p>
    <w:p w:rsidR="00172DAD" w:rsidRPr="00B60B17" w:rsidRDefault="0014233B" w:rsidP="00B60B17">
      <w:pPr>
        <w:spacing w:line="360" w:lineRule="auto"/>
        <w:jc w:val="center"/>
      </w:pPr>
      <w:r w:rsidRPr="00B60B17">
        <w:t>(экономические науки)</w:t>
      </w:r>
    </w:p>
    <w:p w:rsidR="00172DAD" w:rsidRPr="00B60B17" w:rsidRDefault="00172DAD" w:rsidP="00B60B17">
      <w:pPr>
        <w:spacing w:line="360" w:lineRule="auto"/>
        <w:jc w:val="center"/>
      </w:pPr>
    </w:p>
    <w:p w:rsidR="00172DAD" w:rsidRPr="00B60B17" w:rsidRDefault="00496A84" w:rsidP="00B60B17">
      <w:pPr>
        <w:spacing w:line="360" w:lineRule="auto"/>
        <w:jc w:val="center"/>
      </w:pPr>
      <w:r w:rsidRPr="00B60B17">
        <w:t>Резюме</w:t>
      </w:r>
      <w:r w:rsidR="00172DAD" w:rsidRPr="00B60B17">
        <w:t xml:space="preserve"> диссертации на соискание ученой степени </w:t>
      </w:r>
    </w:p>
    <w:p w:rsidR="00172DAD" w:rsidRPr="00B60B17" w:rsidRDefault="00172DAD" w:rsidP="00B60B17">
      <w:pPr>
        <w:spacing w:line="360" w:lineRule="auto"/>
        <w:jc w:val="center"/>
      </w:pPr>
      <w:r w:rsidRPr="00B60B17">
        <w:t xml:space="preserve">доктора экономических наук </w:t>
      </w:r>
    </w:p>
    <w:p w:rsidR="00172DAD" w:rsidRPr="00B60B17" w:rsidRDefault="00172DAD" w:rsidP="00B60B17">
      <w:pPr>
        <w:jc w:val="center"/>
      </w:pPr>
    </w:p>
    <w:p w:rsidR="00172DAD" w:rsidRPr="00B60B17" w:rsidRDefault="00172DAD" w:rsidP="00B60B17">
      <w:pPr>
        <w:jc w:val="center"/>
      </w:pPr>
    </w:p>
    <w:p w:rsidR="00172DAD" w:rsidRPr="00B60B17" w:rsidRDefault="00172DAD" w:rsidP="00B60B17">
      <w:pPr>
        <w:jc w:val="center"/>
      </w:pPr>
    </w:p>
    <w:p w:rsidR="00172DAD" w:rsidRPr="00B60B17" w:rsidRDefault="00496A84" w:rsidP="00B60B17">
      <w:pPr>
        <w:jc w:val="right"/>
        <w:rPr>
          <w:rFonts w:eastAsiaTheme="minorEastAsia"/>
          <w:lang w:eastAsia="ja-JP"/>
        </w:rPr>
      </w:pPr>
      <w:r w:rsidRPr="00B60B17">
        <w:t xml:space="preserve">        </w:t>
      </w:r>
      <w:r w:rsidRPr="00B60B17">
        <w:rPr>
          <w:rFonts w:eastAsiaTheme="minorEastAsia"/>
          <w:lang w:eastAsia="ja-JP"/>
        </w:rPr>
        <w:t>JEL: C44, D44</w:t>
      </w:r>
    </w:p>
    <w:p w:rsidR="00172DAD" w:rsidRPr="00B60B17" w:rsidRDefault="00172DAD" w:rsidP="00B60B17">
      <w:pPr>
        <w:jc w:val="center"/>
      </w:pPr>
    </w:p>
    <w:p w:rsidR="00172DAD" w:rsidRPr="00B60B17" w:rsidRDefault="00172DAD" w:rsidP="00B60B17">
      <w:pPr>
        <w:jc w:val="center"/>
      </w:pPr>
    </w:p>
    <w:p w:rsidR="00172DAD" w:rsidRPr="00B60B17" w:rsidRDefault="00172DAD" w:rsidP="00B60B17">
      <w:pPr>
        <w:jc w:val="center"/>
      </w:pPr>
    </w:p>
    <w:p w:rsidR="00172DAD" w:rsidRPr="00B60B17" w:rsidRDefault="00172DAD" w:rsidP="00B60B17">
      <w:pPr>
        <w:spacing w:line="360" w:lineRule="auto"/>
        <w:jc w:val="right"/>
      </w:pPr>
    </w:p>
    <w:p w:rsidR="00172DAD" w:rsidRPr="00B60B17" w:rsidRDefault="00172DAD" w:rsidP="00B60B17">
      <w:pPr>
        <w:jc w:val="right"/>
      </w:pPr>
    </w:p>
    <w:p w:rsidR="00496A84" w:rsidRPr="00B60B17" w:rsidRDefault="00496A84" w:rsidP="00B60B17">
      <w:pPr>
        <w:jc w:val="right"/>
      </w:pPr>
    </w:p>
    <w:p w:rsidR="00496A84" w:rsidRPr="00B60B17" w:rsidRDefault="00496A84" w:rsidP="00B60B17">
      <w:pPr>
        <w:jc w:val="right"/>
      </w:pPr>
    </w:p>
    <w:p w:rsidR="00496A84" w:rsidRPr="00B60B17" w:rsidRDefault="00496A84" w:rsidP="00B60B17">
      <w:pPr>
        <w:jc w:val="right"/>
      </w:pPr>
    </w:p>
    <w:p w:rsidR="00172DAD" w:rsidRPr="00B60B17" w:rsidRDefault="00172DAD" w:rsidP="00B60B17">
      <w:pPr>
        <w:jc w:val="center"/>
      </w:pPr>
      <w:r w:rsidRPr="00B60B17">
        <w:t>Москва</w:t>
      </w:r>
      <w:r w:rsidR="00496A84" w:rsidRPr="00B60B17">
        <w:t xml:space="preserve"> – 2022</w:t>
      </w:r>
    </w:p>
    <w:p w:rsidR="00172DAD" w:rsidRPr="00B60B17" w:rsidRDefault="00172DAD" w:rsidP="00B60B17">
      <w:pPr>
        <w:rPr>
          <w:rFonts w:eastAsia="System"/>
          <w:b/>
          <w:bCs/>
          <w:noProof/>
          <w:kern w:val="2"/>
          <w:lang w:eastAsia="ja-JP"/>
        </w:rPr>
      </w:pPr>
      <w:r w:rsidRPr="00B60B17">
        <w:br w:type="page"/>
      </w:r>
    </w:p>
    <w:p w:rsidR="009F62CD" w:rsidRPr="00B60B17" w:rsidRDefault="009F62CD" w:rsidP="00B60B17">
      <w:pPr>
        <w:spacing w:after="200" w:line="360" w:lineRule="auto"/>
        <w:ind w:left="1416" w:firstLine="708"/>
        <w:rPr>
          <w:b/>
        </w:rPr>
      </w:pPr>
      <w:r w:rsidRPr="00B60B17">
        <w:rPr>
          <w:b/>
        </w:rPr>
        <w:lastRenderedPageBreak/>
        <w:t xml:space="preserve">Актуальность </w:t>
      </w:r>
      <w:proofErr w:type="gramStart"/>
      <w:r w:rsidRPr="00B60B17">
        <w:rPr>
          <w:b/>
        </w:rPr>
        <w:t>темы  исследования</w:t>
      </w:r>
      <w:proofErr w:type="gramEnd"/>
    </w:p>
    <w:p w:rsidR="005A2EA2" w:rsidRPr="00B60B17" w:rsidRDefault="00404AED" w:rsidP="00B60B17">
      <w:pPr>
        <w:spacing w:line="360" w:lineRule="auto"/>
        <w:ind w:firstLine="709"/>
        <w:jc w:val="both"/>
      </w:pPr>
      <w:r w:rsidRPr="00B60B17">
        <w:t xml:space="preserve">Возникновение эконометрики обычно датируется последней третью 19 века, когда в работах </w:t>
      </w:r>
      <w:proofErr w:type="spellStart"/>
      <w:r w:rsidR="00D80764" w:rsidRPr="00B60B17">
        <w:t>Гальтона</w:t>
      </w:r>
      <w:proofErr w:type="spellEnd"/>
      <w:r w:rsidRPr="00B60B17">
        <w:t xml:space="preserve"> был сформулирован </w:t>
      </w:r>
      <w:r w:rsidR="00D80764" w:rsidRPr="00B60B17">
        <w:t>термин регрессия (вырождение или возвращение к среднему</w:t>
      </w:r>
      <w:r w:rsidRPr="00B60B17">
        <w:t>) и заложены основы для оценивания средней тенденции</w:t>
      </w:r>
      <w:r w:rsidR="00522FEE" w:rsidRPr="00B60B17">
        <w:t xml:space="preserve"> при рассмотрении зависимой переменной как функции </w:t>
      </w:r>
      <w:proofErr w:type="spellStart"/>
      <w:r w:rsidR="00522FEE" w:rsidRPr="00B60B17">
        <w:t>ковариат</w:t>
      </w:r>
      <w:proofErr w:type="spellEnd"/>
      <w:r w:rsidR="00B9598C" w:rsidRPr="00B60B17">
        <w:rPr>
          <w:rStyle w:val="FootnoteReference"/>
        </w:rPr>
        <w:footnoteReference w:id="1"/>
      </w:r>
      <w:r w:rsidRPr="00B60B17">
        <w:t xml:space="preserve">. </w:t>
      </w:r>
      <w:r w:rsidR="005A2EA2" w:rsidRPr="00B60B17">
        <w:t xml:space="preserve"> </w:t>
      </w:r>
    </w:p>
    <w:p w:rsidR="009C46DA" w:rsidRPr="00B60B17" w:rsidRDefault="00522FEE" w:rsidP="00B60B17">
      <w:pPr>
        <w:spacing w:line="360" w:lineRule="auto"/>
        <w:ind w:firstLine="709"/>
        <w:jc w:val="both"/>
        <w:rPr>
          <w:rFonts w:eastAsiaTheme="minorEastAsia"/>
          <w:lang w:eastAsia="ja-JP"/>
        </w:rPr>
      </w:pPr>
      <w:r w:rsidRPr="00B60B17">
        <w:t xml:space="preserve">Впоследствии </w:t>
      </w:r>
      <w:r w:rsidR="00404AED" w:rsidRPr="00B60B17">
        <w:t>в</w:t>
      </w:r>
      <w:r w:rsidRPr="00B60B17">
        <w:t xml:space="preserve">опросы разнородного влияния </w:t>
      </w:r>
      <w:proofErr w:type="spellStart"/>
      <w:r w:rsidRPr="00B60B17">
        <w:t>ковариат</w:t>
      </w:r>
      <w:proofErr w:type="spellEnd"/>
      <w:r w:rsidRPr="00B60B17">
        <w:t xml:space="preserve"> на </w:t>
      </w:r>
      <w:proofErr w:type="spellStart"/>
      <w:r w:rsidRPr="00B60B17">
        <w:t>подвыборки</w:t>
      </w:r>
      <w:proofErr w:type="spellEnd"/>
      <w:r w:rsidRPr="00B60B17">
        <w:t xml:space="preserve"> с различными значениями зависимой переменн</w:t>
      </w:r>
      <w:r w:rsidR="000020B9">
        <w:t>ой и другие аспекты, связанные с</w:t>
      </w:r>
      <w:r w:rsidRPr="00B60B17">
        <w:t xml:space="preserve"> гетерогенностью экономических агентов, </w:t>
      </w:r>
      <w:r w:rsidR="00D80764" w:rsidRPr="00B60B17">
        <w:t xml:space="preserve">стали стимулом для развития современной эконометрики. </w:t>
      </w:r>
      <w:r w:rsidR="009C46DA" w:rsidRPr="00B60B17">
        <w:t xml:space="preserve">Среди теоретиков можно упомянуть </w:t>
      </w:r>
      <w:r w:rsidR="009C46DA" w:rsidRPr="00B60B17">
        <w:rPr>
          <w:rFonts w:eastAsiaTheme="minorEastAsia"/>
          <w:lang w:val="en-US" w:eastAsia="ja-JP"/>
        </w:rPr>
        <w:t>J</w:t>
      </w:r>
      <w:r w:rsidR="009C46DA" w:rsidRPr="00B60B17">
        <w:rPr>
          <w:rFonts w:eastAsiaTheme="minorEastAsia"/>
          <w:lang w:eastAsia="ja-JP"/>
        </w:rPr>
        <w:t>.</w:t>
      </w:r>
      <w:r w:rsidR="009C46DA" w:rsidRPr="00B60B17">
        <w:rPr>
          <w:rFonts w:eastAsiaTheme="minorEastAsia"/>
          <w:lang w:val="en-US" w:eastAsia="ja-JP"/>
        </w:rPr>
        <w:t>Wooldridge</w:t>
      </w:r>
      <w:r w:rsidR="009C46DA" w:rsidRPr="00B60B17">
        <w:rPr>
          <w:rFonts w:eastAsiaTheme="minorEastAsia"/>
          <w:lang w:eastAsia="ja-JP"/>
        </w:rPr>
        <w:t xml:space="preserve">, </w:t>
      </w:r>
      <w:r w:rsidR="009C46DA" w:rsidRPr="00B60B17">
        <w:rPr>
          <w:rFonts w:eastAsiaTheme="minorEastAsia"/>
          <w:lang w:val="en-US" w:eastAsia="ja-JP"/>
        </w:rPr>
        <w:t>W</w:t>
      </w:r>
      <w:r w:rsidR="009C46DA" w:rsidRPr="00B60B17">
        <w:rPr>
          <w:rFonts w:eastAsiaTheme="minorEastAsia"/>
          <w:lang w:eastAsia="ja-JP"/>
        </w:rPr>
        <w:t>.</w:t>
      </w:r>
      <w:r w:rsidR="009C46DA" w:rsidRPr="00B60B17">
        <w:rPr>
          <w:rFonts w:eastAsiaTheme="minorEastAsia"/>
          <w:lang w:val="en-US" w:eastAsia="ja-JP"/>
        </w:rPr>
        <w:t>Greene</w:t>
      </w:r>
      <w:r w:rsidR="009C46DA" w:rsidRPr="00B60B17">
        <w:rPr>
          <w:rFonts w:eastAsiaTheme="minorEastAsia"/>
          <w:lang w:eastAsia="ja-JP"/>
        </w:rPr>
        <w:t xml:space="preserve">, </w:t>
      </w:r>
      <w:r w:rsidR="009C46DA" w:rsidRPr="00B60B17">
        <w:rPr>
          <w:rFonts w:eastAsiaTheme="minorEastAsia"/>
          <w:lang w:val="en-US" w:eastAsia="ja-JP"/>
        </w:rPr>
        <w:t>J</w:t>
      </w:r>
      <w:r w:rsidR="009C46DA" w:rsidRPr="00B60B17">
        <w:rPr>
          <w:rFonts w:eastAsiaTheme="minorEastAsia"/>
          <w:lang w:eastAsia="ja-JP"/>
        </w:rPr>
        <w:t>.</w:t>
      </w:r>
      <w:r w:rsidR="009C46DA" w:rsidRPr="00B60B17">
        <w:rPr>
          <w:rFonts w:eastAsiaTheme="minorEastAsia"/>
          <w:lang w:val="en-US" w:eastAsia="ja-JP"/>
        </w:rPr>
        <w:t>Heckman</w:t>
      </w:r>
      <w:r w:rsidR="009C46DA" w:rsidRPr="00B60B17">
        <w:rPr>
          <w:rFonts w:eastAsiaTheme="minorEastAsia"/>
          <w:lang w:eastAsia="ja-JP"/>
        </w:rPr>
        <w:t xml:space="preserve">, </w:t>
      </w:r>
      <w:r w:rsidR="009C46DA" w:rsidRPr="00B60B17">
        <w:rPr>
          <w:rFonts w:eastAsiaTheme="minorEastAsia"/>
          <w:lang w:val="en-US" w:eastAsia="ja-JP"/>
        </w:rPr>
        <w:t>J</w:t>
      </w:r>
      <w:r w:rsidR="009C46DA" w:rsidRPr="00B60B17">
        <w:rPr>
          <w:rFonts w:eastAsiaTheme="minorEastAsia"/>
          <w:lang w:eastAsia="ja-JP"/>
        </w:rPr>
        <w:t>.</w:t>
      </w:r>
      <w:r w:rsidR="009C46DA" w:rsidRPr="00B60B17">
        <w:rPr>
          <w:rFonts w:eastAsiaTheme="minorEastAsia"/>
          <w:lang w:val="en-US" w:eastAsia="ja-JP"/>
        </w:rPr>
        <w:t>Angrist</w:t>
      </w:r>
      <w:r w:rsidR="009C46DA" w:rsidRPr="00B60B17">
        <w:rPr>
          <w:rFonts w:eastAsiaTheme="minorEastAsia"/>
          <w:lang w:eastAsia="ja-JP"/>
        </w:rPr>
        <w:t xml:space="preserve">, </w:t>
      </w:r>
      <w:r w:rsidR="009C46DA" w:rsidRPr="00B60B17">
        <w:rPr>
          <w:rFonts w:eastAsiaTheme="minorEastAsia"/>
          <w:lang w:val="en-US" w:eastAsia="ja-JP"/>
        </w:rPr>
        <w:t>A</w:t>
      </w:r>
      <w:r w:rsidR="009C46DA" w:rsidRPr="00B60B17">
        <w:rPr>
          <w:rFonts w:eastAsiaTheme="minorEastAsia"/>
          <w:lang w:eastAsia="ja-JP"/>
        </w:rPr>
        <w:t>.</w:t>
      </w:r>
      <w:proofErr w:type="spellStart"/>
      <w:r w:rsidR="009C46DA" w:rsidRPr="00B60B17">
        <w:rPr>
          <w:rFonts w:eastAsiaTheme="minorEastAsia"/>
          <w:lang w:val="en-US" w:eastAsia="ja-JP"/>
        </w:rPr>
        <w:t>Abadie</w:t>
      </w:r>
      <w:proofErr w:type="spellEnd"/>
      <w:r w:rsidR="009C46DA" w:rsidRPr="00B60B17">
        <w:rPr>
          <w:rFonts w:eastAsiaTheme="minorEastAsia"/>
          <w:lang w:eastAsia="ja-JP"/>
        </w:rPr>
        <w:t xml:space="preserve">, </w:t>
      </w:r>
      <w:r w:rsidR="009C46DA" w:rsidRPr="00B60B17">
        <w:rPr>
          <w:rFonts w:eastAsiaTheme="minorEastAsia"/>
          <w:lang w:val="en-US" w:eastAsia="ja-JP"/>
        </w:rPr>
        <w:t>G</w:t>
      </w:r>
      <w:r w:rsidR="009C46DA" w:rsidRPr="00B60B17">
        <w:rPr>
          <w:rFonts w:eastAsiaTheme="minorEastAsia"/>
          <w:lang w:eastAsia="ja-JP"/>
        </w:rPr>
        <w:t>.</w:t>
      </w:r>
      <w:proofErr w:type="spellStart"/>
      <w:r w:rsidR="009C46DA" w:rsidRPr="00B60B17">
        <w:rPr>
          <w:rFonts w:eastAsiaTheme="minorEastAsia"/>
          <w:lang w:val="en-US" w:eastAsia="ja-JP"/>
        </w:rPr>
        <w:t>Imbens</w:t>
      </w:r>
      <w:proofErr w:type="spellEnd"/>
      <w:r w:rsidR="009C46DA" w:rsidRPr="00B60B17">
        <w:rPr>
          <w:rFonts w:eastAsiaTheme="minorEastAsia"/>
          <w:lang w:eastAsia="ja-JP"/>
        </w:rPr>
        <w:t xml:space="preserve">, </w:t>
      </w:r>
      <w:r w:rsidR="009C46DA" w:rsidRPr="00B60B17">
        <w:rPr>
          <w:rFonts w:eastAsiaTheme="minorEastAsia"/>
          <w:lang w:val="en-US" w:eastAsia="ja-JP"/>
        </w:rPr>
        <w:t>V</w:t>
      </w:r>
      <w:r w:rsidR="009C46DA" w:rsidRPr="00B60B17">
        <w:rPr>
          <w:rFonts w:eastAsiaTheme="minorEastAsia"/>
          <w:lang w:eastAsia="ja-JP"/>
        </w:rPr>
        <w:t>.</w:t>
      </w:r>
      <w:proofErr w:type="spellStart"/>
      <w:r w:rsidR="009C46DA" w:rsidRPr="00B60B17">
        <w:rPr>
          <w:rFonts w:eastAsiaTheme="minorEastAsia"/>
          <w:lang w:val="en-US" w:eastAsia="ja-JP"/>
        </w:rPr>
        <w:t>Chernozhukov</w:t>
      </w:r>
      <w:proofErr w:type="spellEnd"/>
      <w:r w:rsidR="009C46DA" w:rsidRPr="00B60B17">
        <w:rPr>
          <w:rFonts w:eastAsiaTheme="minorEastAsia"/>
          <w:lang w:eastAsia="ja-JP"/>
        </w:rPr>
        <w:t xml:space="preserve">, среди прикладных исследователей - </w:t>
      </w:r>
      <w:r w:rsidR="009C46DA" w:rsidRPr="00B60B17">
        <w:rPr>
          <w:rFonts w:eastAsiaTheme="minorEastAsia"/>
          <w:lang w:val="en-US" w:eastAsia="ja-JP"/>
        </w:rPr>
        <w:t>D</w:t>
      </w:r>
      <w:r w:rsidR="009C46DA" w:rsidRPr="00B60B17">
        <w:rPr>
          <w:rFonts w:eastAsiaTheme="minorEastAsia"/>
          <w:lang w:eastAsia="ja-JP"/>
        </w:rPr>
        <w:t>.</w:t>
      </w:r>
      <w:proofErr w:type="spellStart"/>
      <w:r w:rsidR="009C46DA" w:rsidRPr="00B60B17">
        <w:rPr>
          <w:rFonts w:eastAsiaTheme="minorEastAsia"/>
          <w:lang w:val="en-US" w:eastAsia="ja-JP"/>
        </w:rPr>
        <w:t>Acemoglu</w:t>
      </w:r>
      <w:proofErr w:type="spellEnd"/>
      <w:r w:rsidR="009C46DA" w:rsidRPr="00B60B17">
        <w:rPr>
          <w:rFonts w:eastAsiaTheme="minorEastAsia"/>
          <w:lang w:eastAsia="ja-JP"/>
        </w:rPr>
        <w:t xml:space="preserve"> (экономика труда, благосостояния и государственного сектора), </w:t>
      </w:r>
      <w:r w:rsidR="009C46DA" w:rsidRPr="00B60B17">
        <w:rPr>
          <w:rFonts w:eastAsiaTheme="minorEastAsia"/>
          <w:lang w:val="en-US" w:eastAsia="ja-JP"/>
        </w:rPr>
        <w:t>A</w:t>
      </w:r>
      <w:r w:rsidR="009C46DA" w:rsidRPr="00B60B17">
        <w:rPr>
          <w:rFonts w:eastAsiaTheme="minorEastAsia"/>
          <w:lang w:eastAsia="ja-JP"/>
        </w:rPr>
        <w:t>.</w:t>
      </w:r>
      <w:proofErr w:type="spellStart"/>
      <w:r w:rsidR="009C46DA" w:rsidRPr="00B60B17">
        <w:rPr>
          <w:rFonts w:eastAsiaTheme="minorEastAsia"/>
          <w:lang w:val="en-US" w:eastAsia="ja-JP"/>
        </w:rPr>
        <w:t>Kashyap</w:t>
      </w:r>
      <w:proofErr w:type="spellEnd"/>
      <w:r w:rsidR="009C46DA" w:rsidRPr="00B60B17">
        <w:rPr>
          <w:rFonts w:eastAsiaTheme="minorEastAsia"/>
          <w:lang w:eastAsia="ja-JP"/>
        </w:rPr>
        <w:t xml:space="preserve">, </w:t>
      </w:r>
      <w:r w:rsidR="009C46DA" w:rsidRPr="00B60B17">
        <w:rPr>
          <w:rFonts w:eastAsiaTheme="minorEastAsia"/>
          <w:lang w:val="en-US" w:eastAsia="ja-JP"/>
        </w:rPr>
        <w:t>S</w:t>
      </w:r>
      <w:r w:rsidR="009C46DA" w:rsidRPr="00B60B17">
        <w:rPr>
          <w:rFonts w:eastAsiaTheme="minorEastAsia"/>
          <w:lang w:eastAsia="ja-JP"/>
        </w:rPr>
        <w:t>.</w:t>
      </w:r>
      <w:proofErr w:type="spellStart"/>
      <w:r w:rsidR="009C46DA" w:rsidRPr="00B60B17">
        <w:rPr>
          <w:rFonts w:eastAsiaTheme="minorEastAsia"/>
          <w:lang w:val="en-US" w:eastAsia="ja-JP"/>
        </w:rPr>
        <w:t>Kumbhakar</w:t>
      </w:r>
      <w:proofErr w:type="spellEnd"/>
      <w:r w:rsidR="009C46DA" w:rsidRPr="00B60B17">
        <w:rPr>
          <w:rFonts w:eastAsiaTheme="minorEastAsia"/>
          <w:lang w:eastAsia="ja-JP"/>
        </w:rPr>
        <w:t xml:space="preserve"> (анализ банковской деятельности),</w:t>
      </w:r>
      <w:r w:rsidR="0084461A" w:rsidRPr="0084461A">
        <w:rPr>
          <w:rFonts w:eastAsiaTheme="minorEastAsia"/>
          <w:lang w:eastAsia="ja-JP"/>
        </w:rPr>
        <w:t xml:space="preserve"> </w:t>
      </w:r>
      <w:r w:rsidR="0084461A">
        <w:rPr>
          <w:rFonts w:eastAsiaTheme="minorEastAsia"/>
          <w:lang w:val="en-US" w:eastAsia="ja-JP"/>
        </w:rPr>
        <w:t>N</w:t>
      </w:r>
      <w:r w:rsidR="0084461A" w:rsidRPr="0084461A">
        <w:rPr>
          <w:rFonts w:eastAsiaTheme="minorEastAsia"/>
          <w:lang w:eastAsia="ja-JP"/>
        </w:rPr>
        <w:t>.</w:t>
      </w:r>
      <w:r w:rsidR="0084461A">
        <w:rPr>
          <w:rFonts w:eastAsiaTheme="minorEastAsia"/>
          <w:lang w:val="en-US" w:eastAsia="ja-JP"/>
        </w:rPr>
        <w:t>Bloom</w:t>
      </w:r>
      <w:r w:rsidR="0084461A" w:rsidRPr="0084461A">
        <w:rPr>
          <w:rFonts w:eastAsiaTheme="minorEastAsia"/>
          <w:lang w:eastAsia="ja-JP"/>
        </w:rPr>
        <w:t xml:space="preserve">, </w:t>
      </w:r>
      <w:r w:rsidR="0084461A">
        <w:rPr>
          <w:rFonts w:eastAsiaTheme="minorEastAsia"/>
          <w:lang w:val="en-US" w:eastAsia="ja-JP"/>
        </w:rPr>
        <w:t>J</w:t>
      </w:r>
      <w:r w:rsidR="0084461A" w:rsidRPr="0084461A">
        <w:rPr>
          <w:rFonts w:eastAsiaTheme="minorEastAsia"/>
          <w:lang w:eastAsia="ja-JP"/>
        </w:rPr>
        <w:t xml:space="preserve">. </w:t>
      </w:r>
      <w:r w:rsidR="0084461A">
        <w:rPr>
          <w:rFonts w:eastAsiaTheme="minorEastAsia"/>
          <w:lang w:val="en-US" w:eastAsia="ja-JP"/>
        </w:rPr>
        <w:t>Van</w:t>
      </w:r>
      <w:r w:rsidR="0084461A" w:rsidRPr="0084461A">
        <w:rPr>
          <w:rFonts w:eastAsiaTheme="minorEastAsia"/>
          <w:lang w:eastAsia="ja-JP"/>
        </w:rPr>
        <w:t xml:space="preserve"> </w:t>
      </w:r>
      <w:proofErr w:type="spellStart"/>
      <w:r w:rsidR="0084461A">
        <w:rPr>
          <w:rFonts w:eastAsiaTheme="minorEastAsia"/>
          <w:lang w:val="en-US" w:eastAsia="ja-JP"/>
        </w:rPr>
        <w:t>Reenen</w:t>
      </w:r>
      <w:proofErr w:type="spellEnd"/>
      <w:r w:rsidR="0084461A" w:rsidRPr="0084461A">
        <w:rPr>
          <w:rFonts w:eastAsiaTheme="minorEastAsia"/>
          <w:lang w:eastAsia="ja-JP"/>
        </w:rPr>
        <w:t xml:space="preserve"> (</w:t>
      </w:r>
      <w:r w:rsidR="0084461A">
        <w:rPr>
          <w:rFonts w:eastAsiaTheme="minorEastAsia"/>
          <w:lang w:eastAsia="ja-JP"/>
        </w:rPr>
        <w:t>управление предприятиями),</w:t>
      </w:r>
      <w:r w:rsidR="009C46DA" w:rsidRPr="00B60B17">
        <w:rPr>
          <w:rFonts w:eastAsiaTheme="minorEastAsia"/>
          <w:lang w:eastAsia="ja-JP"/>
        </w:rPr>
        <w:t xml:space="preserve"> </w:t>
      </w:r>
      <w:r w:rsidR="000020B9">
        <w:rPr>
          <w:rFonts w:eastAsiaTheme="minorEastAsia"/>
          <w:lang w:val="en-US" w:eastAsia="ja-JP"/>
        </w:rPr>
        <w:t>A</w:t>
      </w:r>
      <w:r w:rsidR="000020B9" w:rsidRPr="000020B9">
        <w:rPr>
          <w:rFonts w:eastAsiaTheme="minorEastAsia"/>
          <w:lang w:eastAsia="ja-JP"/>
        </w:rPr>
        <w:t>.</w:t>
      </w:r>
      <w:r w:rsidR="009C46DA" w:rsidRPr="00B60B17">
        <w:rPr>
          <w:rFonts w:eastAsiaTheme="minorEastAsia"/>
          <w:lang w:val="en-US" w:eastAsia="ja-JP"/>
        </w:rPr>
        <w:t>Cameron</w:t>
      </w:r>
      <w:r w:rsidR="009C46DA" w:rsidRPr="00B60B17">
        <w:rPr>
          <w:rFonts w:eastAsiaTheme="minorEastAsia"/>
          <w:lang w:eastAsia="ja-JP"/>
        </w:rPr>
        <w:t xml:space="preserve">, </w:t>
      </w:r>
      <w:r w:rsidR="009C46DA" w:rsidRPr="00B60B17">
        <w:rPr>
          <w:rFonts w:eastAsiaTheme="minorEastAsia"/>
          <w:lang w:val="en-US" w:eastAsia="ja-JP"/>
        </w:rPr>
        <w:t>P</w:t>
      </w:r>
      <w:r w:rsidR="009C46DA" w:rsidRPr="00B60B17">
        <w:rPr>
          <w:rFonts w:eastAsiaTheme="minorEastAsia"/>
          <w:lang w:eastAsia="ja-JP"/>
        </w:rPr>
        <w:t>.</w:t>
      </w:r>
      <w:r w:rsidR="009C46DA" w:rsidRPr="00B60B17">
        <w:rPr>
          <w:rFonts w:eastAsiaTheme="minorEastAsia"/>
          <w:lang w:val="en-US" w:eastAsia="ja-JP"/>
        </w:rPr>
        <w:t>Trivedi</w:t>
      </w:r>
      <w:r w:rsidR="009C46DA" w:rsidRPr="00B60B17">
        <w:rPr>
          <w:rFonts w:eastAsiaTheme="minorEastAsia"/>
          <w:lang w:eastAsia="ja-JP"/>
        </w:rPr>
        <w:t xml:space="preserve">, </w:t>
      </w:r>
      <w:r w:rsidR="009C46DA" w:rsidRPr="00B60B17">
        <w:rPr>
          <w:rFonts w:eastAsiaTheme="minorEastAsia"/>
          <w:lang w:val="en-US" w:eastAsia="ja-JP"/>
        </w:rPr>
        <w:t>D</w:t>
      </w:r>
      <w:r w:rsidR="009C46DA" w:rsidRPr="00B60B17">
        <w:rPr>
          <w:rFonts w:eastAsiaTheme="minorEastAsia"/>
          <w:lang w:eastAsia="ja-JP"/>
        </w:rPr>
        <w:t>.</w:t>
      </w:r>
      <w:proofErr w:type="spellStart"/>
      <w:r w:rsidR="009C46DA" w:rsidRPr="00B60B17">
        <w:rPr>
          <w:rFonts w:eastAsiaTheme="minorEastAsia"/>
          <w:lang w:val="en-US" w:eastAsia="ja-JP"/>
        </w:rPr>
        <w:t>Dranove</w:t>
      </w:r>
      <w:proofErr w:type="spellEnd"/>
      <w:r w:rsidR="009C46DA" w:rsidRPr="00B60B17">
        <w:rPr>
          <w:rFonts w:eastAsiaTheme="minorEastAsia"/>
          <w:lang w:eastAsia="ja-JP"/>
        </w:rPr>
        <w:t xml:space="preserve"> (экономика здравоохранения). </w:t>
      </w:r>
    </w:p>
    <w:p w:rsidR="00DC2507" w:rsidRPr="00B60B17" w:rsidRDefault="009F62CD" w:rsidP="00B60B17">
      <w:pPr>
        <w:spacing w:line="360" w:lineRule="auto"/>
        <w:ind w:firstLine="708"/>
        <w:jc w:val="both"/>
      </w:pPr>
      <w:r w:rsidRPr="00B60B17">
        <w:t>Данная диссертация</w:t>
      </w:r>
      <w:r w:rsidR="002040A5" w:rsidRPr="00B60B17">
        <w:rPr>
          <w:rFonts w:eastAsiaTheme="minorEastAsia"/>
          <w:lang w:eastAsia="ja-JP"/>
        </w:rPr>
        <w:t>, которая является обобщением научных статей автора 200</w:t>
      </w:r>
      <w:r w:rsidR="00CD2F41" w:rsidRPr="00B60B17">
        <w:rPr>
          <w:rFonts w:eastAsiaTheme="minorEastAsia"/>
          <w:lang w:eastAsia="ja-JP"/>
        </w:rPr>
        <w:t>6</w:t>
      </w:r>
      <w:r w:rsidR="002040A5" w:rsidRPr="00B60B17">
        <w:rPr>
          <w:rFonts w:eastAsiaTheme="minorEastAsia"/>
          <w:lang w:eastAsia="ja-JP"/>
        </w:rPr>
        <w:t>-2021 гг.,</w:t>
      </w:r>
      <w:r w:rsidRPr="00B60B17">
        <w:t xml:space="preserve"> </w:t>
      </w:r>
      <w:r w:rsidR="00F50653" w:rsidRPr="00B60B17">
        <w:t xml:space="preserve">посвящена </w:t>
      </w:r>
      <w:r w:rsidR="00DA26C2" w:rsidRPr="00B60B17">
        <w:t xml:space="preserve">использованию </w:t>
      </w:r>
      <w:r w:rsidR="00496A84" w:rsidRPr="00B60B17">
        <w:t xml:space="preserve">прикладных </w:t>
      </w:r>
      <w:r w:rsidR="00B961EC" w:rsidRPr="00B60B17">
        <w:rPr>
          <w:rFonts w:eastAsiaTheme="minorEastAsia"/>
          <w:lang w:eastAsia="ja-JP"/>
        </w:rPr>
        <w:t xml:space="preserve">методов параметрического и непараметрического </w:t>
      </w:r>
      <w:r w:rsidR="00496A84" w:rsidRPr="00B60B17">
        <w:rPr>
          <w:rFonts w:eastAsiaTheme="minorEastAsia"/>
          <w:lang w:eastAsia="ja-JP"/>
        </w:rPr>
        <w:t xml:space="preserve">анализа </w:t>
      </w:r>
      <w:r w:rsidR="002040A5" w:rsidRPr="00B60B17">
        <w:rPr>
          <w:rFonts w:eastAsiaTheme="minorEastAsia"/>
          <w:lang w:eastAsia="ja-JP"/>
        </w:rPr>
        <w:t xml:space="preserve">для </w:t>
      </w:r>
      <w:r w:rsidR="00B961EC" w:rsidRPr="00B60B17">
        <w:rPr>
          <w:rFonts w:eastAsiaTheme="minorEastAsia"/>
          <w:lang w:eastAsia="ja-JP"/>
        </w:rPr>
        <w:t xml:space="preserve">моделирования </w:t>
      </w:r>
      <w:r w:rsidR="00496A84" w:rsidRPr="00B60B17">
        <w:rPr>
          <w:rFonts w:eastAsiaTheme="minorEastAsia"/>
          <w:lang w:eastAsia="ja-JP"/>
        </w:rPr>
        <w:t>гетерогенности экономических агентов</w:t>
      </w:r>
      <w:r w:rsidR="002040A5" w:rsidRPr="00B60B17">
        <w:rPr>
          <w:rFonts w:eastAsiaTheme="minorEastAsia"/>
          <w:lang w:eastAsia="ja-JP"/>
        </w:rPr>
        <w:t xml:space="preserve"> и гетерогенного эффекта реформ</w:t>
      </w:r>
      <w:r w:rsidR="008D1C74" w:rsidRPr="00B60B17">
        <w:rPr>
          <w:rFonts w:eastAsiaTheme="minorEastAsia"/>
          <w:lang w:eastAsia="ja-JP"/>
        </w:rPr>
        <w:t>:</w:t>
      </w:r>
      <w:r w:rsidR="00DC2507" w:rsidRPr="00B60B17">
        <w:rPr>
          <w:rFonts w:eastAsiaTheme="minorEastAsia"/>
          <w:lang w:eastAsia="ja-JP"/>
        </w:rPr>
        <w:t xml:space="preserve"> </w:t>
      </w:r>
      <w:r w:rsidR="00DC2507" w:rsidRPr="00B60B17">
        <w:t>расщепление смеси распределений (модели с латентными классами) в рамках анализа стохастической границы, а такж</w:t>
      </w:r>
      <w:r w:rsidR="0084461A">
        <w:t>е в рамках линейных и обобщенных</w:t>
      </w:r>
      <w:r w:rsidR="00DC2507" w:rsidRPr="00B60B17">
        <w:t xml:space="preserve"> линейных моделей</w:t>
      </w:r>
      <w:r w:rsidR="00DA07C4" w:rsidRPr="00DA07C4">
        <w:t xml:space="preserve"> </w:t>
      </w:r>
      <w:r w:rsidR="00DA07C4">
        <w:t>и</w:t>
      </w:r>
      <w:r w:rsidR="00DC2507" w:rsidRPr="00B60B17">
        <w:t xml:space="preserve"> моделей бинарного выбора; анализ с помощью </w:t>
      </w:r>
      <w:proofErr w:type="spellStart"/>
      <w:r w:rsidR="00DC2507" w:rsidRPr="00B60B17">
        <w:t>квантильных</w:t>
      </w:r>
      <w:proofErr w:type="spellEnd"/>
      <w:r w:rsidR="00DC2507" w:rsidRPr="00B60B17">
        <w:t xml:space="preserve"> регресси</w:t>
      </w:r>
      <w:r w:rsidR="0084461A">
        <w:t>й</w:t>
      </w:r>
      <w:r w:rsidR="00DC2507" w:rsidRPr="00B60B17">
        <w:t xml:space="preserve"> и ядерных регрессий; робастное оценивание в рамках непараметрического анализа границы; оценивание условного и безусловного эффекта воздействия; корреляционный анализ и описательный статистический анализ.</w:t>
      </w:r>
      <w:r w:rsidR="00DC2507" w:rsidRPr="00B60B17">
        <w:tab/>
        <w:t xml:space="preserve">    </w:t>
      </w:r>
    </w:p>
    <w:p w:rsidR="009F62CD" w:rsidRDefault="00DA26C2" w:rsidP="00B60B17">
      <w:pPr>
        <w:spacing w:line="360" w:lineRule="auto"/>
        <w:ind w:firstLine="709"/>
        <w:jc w:val="both"/>
      </w:pPr>
      <w:r w:rsidRPr="00B60B17">
        <w:rPr>
          <w:rFonts w:eastAsiaTheme="minorEastAsia"/>
          <w:lang w:eastAsia="ja-JP"/>
        </w:rPr>
        <w:t>И</w:t>
      </w:r>
      <w:r w:rsidR="001345D0" w:rsidRPr="00B60B17">
        <w:rPr>
          <w:rFonts w:eastAsiaTheme="minorEastAsia"/>
          <w:lang w:eastAsia="ja-JP"/>
        </w:rPr>
        <w:t>нструментарий</w:t>
      </w:r>
      <w:r w:rsidR="004F14A5" w:rsidRPr="00B60B17">
        <w:rPr>
          <w:rFonts w:eastAsiaTheme="minorEastAsia"/>
          <w:lang w:eastAsia="ja-JP"/>
        </w:rPr>
        <w:t xml:space="preserve"> использован </w:t>
      </w:r>
      <w:r w:rsidR="00404AED" w:rsidRPr="00B60B17">
        <w:rPr>
          <w:rFonts w:eastAsiaTheme="minorEastAsia"/>
          <w:lang w:eastAsia="ja-JP"/>
        </w:rPr>
        <w:t xml:space="preserve">для прикладного эконометрического анализа </w:t>
      </w:r>
      <w:proofErr w:type="spellStart"/>
      <w:r w:rsidR="00404AED" w:rsidRPr="00B60B17">
        <w:rPr>
          <w:rFonts w:eastAsiaTheme="minorEastAsia"/>
          <w:lang w:eastAsia="ja-JP"/>
        </w:rPr>
        <w:t>акутальных</w:t>
      </w:r>
      <w:proofErr w:type="spellEnd"/>
      <w:r w:rsidR="00404AED" w:rsidRPr="00B60B17">
        <w:rPr>
          <w:rFonts w:eastAsiaTheme="minorEastAsia"/>
          <w:lang w:eastAsia="ja-JP"/>
        </w:rPr>
        <w:t xml:space="preserve"> </w:t>
      </w:r>
      <w:r w:rsidR="0084461A">
        <w:rPr>
          <w:rFonts w:eastAsiaTheme="minorEastAsia"/>
          <w:lang w:eastAsia="ja-JP"/>
        </w:rPr>
        <w:t xml:space="preserve">вопросов </w:t>
      </w:r>
      <w:r w:rsidR="002040A5" w:rsidRPr="00B60B17">
        <w:rPr>
          <w:rFonts w:eastAsiaTheme="minorEastAsia"/>
          <w:lang w:eastAsia="ja-JP"/>
        </w:rPr>
        <w:t>банковской отрасли</w:t>
      </w:r>
      <w:r w:rsidR="00B11F52" w:rsidRPr="00B60B17">
        <w:rPr>
          <w:rFonts w:eastAsiaTheme="minorEastAsia"/>
          <w:lang w:eastAsia="ja-JP"/>
        </w:rPr>
        <w:t xml:space="preserve"> и </w:t>
      </w:r>
      <w:r w:rsidR="002040A5" w:rsidRPr="00B60B17">
        <w:rPr>
          <w:rFonts w:eastAsiaTheme="minorEastAsia"/>
          <w:lang w:eastAsia="ja-JP"/>
        </w:rPr>
        <w:t>эк</w:t>
      </w:r>
      <w:r w:rsidR="00404AED" w:rsidRPr="00B60B17">
        <w:rPr>
          <w:rFonts w:eastAsiaTheme="minorEastAsia"/>
          <w:lang w:eastAsia="ja-JP"/>
        </w:rPr>
        <w:t>ономики</w:t>
      </w:r>
      <w:r w:rsidR="002040A5" w:rsidRPr="00B60B17">
        <w:rPr>
          <w:rFonts w:eastAsiaTheme="minorEastAsia"/>
          <w:lang w:eastAsia="ja-JP"/>
        </w:rPr>
        <w:t xml:space="preserve"> государственного сектора</w:t>
      </w:r>
      <w:r w:rsidR="00DC2507" w:rsidRPr="00B60B17">
        <w:rPr>
          <w:rFonts w:eastAsiaTheme="minorEastAsia"/>
          <w:lang w:eastAsia="ja-JP"/>
        </w:rPr>
        <w:t xml:space="preserve">, </w:t>
      </w:r>
      <w:proofErr w:type="gramStart"/>
      <w:r w:rsidR="00DC2507" w:rsidRPr="00B60B17">
        <w:rPr>
          <w:rFonts w:eastAsiaTheme="minorEastAsia"/>
          <w:lang w:eastAsia="ja-JP"/>
        </w:rPr>
        <w:t xml:space="preserve">а </w:t>
      </w:r>
      <w:r w:rsidR="002040A5" w:rsidRPr="00B60B17">
        <w:rPr>
          <w:rFonts w:eastAsiaTheme="minorEastAsia"/>
          <w:lang w:eastAsia="ja-JP"/>
        </w:rPr>
        <w:t xml:space="preserve"> </w:t>
      </w:r>
      <w:r w:rsidR="00496A84" w:rsidRPr="00B60B17">
        <w:rPr>
          <w:rFonts w:eastAsiaTheme="minorEastAsia"/>
          <w:lang w:eastAsia="ja-JP"/>
        </w:rPr>
        <w:t>эконометрически</w:t>
      </w:r>
      <w:r w:rsidR="002040A5" w:rsidRPr="00B60B17">
        <w:rPr>
          <w:rFonts w:eastAsiaTheme="minorEastAsia"/>
          <w:lang w:eastAsia="ja-JP"/>
        </w:rPr>
        <w:t>е</w:t>
      </w:r>
      <w:proofErr w:type="gramEnd"/>
      <w:r w:rsidR="00496A84" w:rsidRPr="00B60B17">
        <w:rPr>
          <w:rFonts w:eastAsiaTheme="minorEastAsia"/>
          <w:lang w:eastAsia="ja-JP"/>
        </w:rPr>
        <w:t xml:space="preserve"> </w:t>
      </w:r>
      <w:r w:rsidR="009F62CD" w:rsidRPr="00B60B17">
        <w:rPr>
          <w:rFonts w:eastAsia="MS Mincho"/>
          <w:lang w:eastAsia="ja-JP"/>
        </w:rPr>
        <w:t>расчет</w:t>
      </w:r>
      <w:r w:rsidR="002040A5" w:rsidRPr="00B60B17">
        <w:rPr>
          <w:rFonts w:eastAsia="MS Mincho"/>
          <w:lang w:eastAsia="ja-JP"/>
        </w:rPr>
        <w:t>ы</w:t>
      </w:r>
      <w:r w:rsidR="00B11F52" w:rsidRPr="00B60B17">
        <w:rPr>
          <w:rFonts w:eastAsia="MS Mincho"/>
          <w:lang w:eastAsia="ja-JP"/>
        </w:rPr>
        <w:t xml:space="preserve"> </w:t>
      </w:r>
      <w:r w:rsidR="002040A5" w:rsidRPr="00B60B17">
        <w:rPr>
          <w:rFonts w:eastAsia="MS Mincho"/>
          <w:lang w:eastAsia="ja-JP"/>
        </w:rPr>
        <w:t>основаны</w:t>
      </w:r>
      <w:r w:rsidR="004F14A5" w:rsidRPr="00B60B17">
        <w:rPr>
          <w:rFonts w:eastAsia="MS Mincho"/>
          <w:lang w:eastAsia="ja-JP"/>
        </w:rPr>
        <w:t xml:space="preserve"> </w:t>
      </w:r>
      <w:r w:rsidR="002040A5" w:rsidRPr="00B60B17">
        <w:rPr>
          <w:rFonts w:eastAsia="MS Mincho"/>
          <w:lang w:eastAsia="ja-JP"/>
        </w:rPr>
        <w:t xml:space="preserve">на </w:t>
      </w:r>
      <w:r w:rsidR="004F14A5" w:rsidRPr="00B60B17">
        <w:rPr>
          <w:rFonts w:eastAsia="MS Mincho"/>
          <w:lang w:eastAsia="ja-JP"/>
        </w:rPr>
        <w:t>большо</w:t>
      </w:r>
      <w:r w:rsidR="002040A5" w:rsidRPr="00B60B17">
        <w:rPr>
          <w:rFonts w:eastAsia="MS Mincho"/>
          <w:lang w:eastAsia="ja-JP"/>
        </w:rPr>
        <w:t>м</w:t>
      </w:r>
      <w:r w:rsidR="004F14A5" w:rsidRPr="00B60B17">
        <w:rPr>
          <w:rFonts w:eastAsia="MS Mincho"/>
          <w:lang w:eastAsia="ja-JP"/>
        </w:rPr>
        <w:t xml:space="preserve"> объем</w:t>
      </w:r>
      <w:r w:rsidR="002040A5" w:rsidRPr="00B60B17">
        <w:rPr>
          <w:rFonts w:eastAsia="MS Mincho"/>
          <w:lang w:eastAsia="ja-JP"/>
        </w:rPr>
        <w:t>е</w:t>
      </w:r>
      <w:r w:rsidR="004F14A5" w:rsidRPr="00B60B17">
        <w:rPr>
          <w:rFonts w:eastAsia="MS Mincho"/>
          <w:lang w:eastAsia="ja-JP"/>
        </w:rPr>
        <w:t xml:space="preserve"> </w:t>
      </w:r>
      <w:r w:rsidR="002040A5" w:rsidRPr="00B60B17">
        <w:rPr>
          <w:rFonts w:eastAsia="MS Mincho"/>
          <w:lang w:eastAsia="ja-JP"/>
        </w:rPr>
        <w:t xml:space="preserve">микроэкономических  и </w:t>
      </w:r>
      <w:r w:rsidR="009F62CD" w:rsidRPr="00B60B17">
        <w:t>макро</w:t>
      </w:r>
      <w:r w:rsidR="00B961EC" w:rsidRPr="00B60B17">
        <w:t>экономически</w:t>
      </w:r>
      <w:r w:rsidR="004F14A5" w:rsidRPr="00B60B17">
        <w:t>х</w:t>
      </w:r>
      <w:r w:rsidR="002040A5" w:rsidRPr="00B60B17">
        <w:t xml:space="preserve"> </w:t>
      </w:r>
      <w:r w:rsidR="004F14A5" w:rsidRPr="00B60B17">
        <w:t>данных</w:t>
      </w:r>
      <w:r w:rsidR="002040A5" w:rsidRPr="00B60B17">
        <w:t xml:space="preserve"> об экономиках США, Японии и России</w:t>
      </w:r>
      <w:r w:rsidR="009F62CD" w:rsidRPr="00B60B17">
        <w:t xml:space="preserve">. </w:t>
      </w:r>
    </w:p>
    <w:p w:rsidR="00DA07C4" w:rsidRDefault="00DA07C4" w:rsidP="00DA07C4">
      <w:pPr>
        <w:spacing w:line="360" w:lineRule="auto"/>
        <w:ind w:firstLine="708"/>
        <w:jc w:val="both"/>
      </w:pPr>
      <w:r>
        <w:t>Применение инструментария</w:t>
      </w:r>
      <w:r w:rsidRPr="00B60B17">
        <w:t xml:space="preserve"> позволил</w:t>
      </w:r>
      <w:r>
        <w:t>о</w:t>
      </w:r>
      <w:r w:rsidRPr="00B60B17">
        <w:t xml:space="preserve">, в частности, моделировать латентные процессы при оценке динамики ценовой </w:t>
      </w:r>
      <w:r w:rsidR="000020B9" w:rsidRPr="00B60B17">
        <w:t>эффективности производител</w:t>
      </w:r>
      <w:r w:rsidR="0084461A">
        <w:t>ей</w:t>
      </w:r>
      <w:r w:rsidRPr="00B60B17">
        <w:t xml:space="preserve">, эластичности потребительского спроса и эффекта воздействия финансовых и институциональных реформ. </w:t>
      </w:r>
    </w:p>
    <w:p w:rsidR="0084461A" w:rsidRDefault="0084461A" w:rsidP="00DA07C4">
      <w:pPr>
        <w:spacing w:line="360" w:lineRule="auto"/>
        <w:ind w:firstLine="708"/>
        <w:jc w:val="both"/>
      </w:pPr>
    </w:p>
    <w:p w:rsidR="0084461A" w:rsidRDefault="0084461A" w:rsidP="00DA07C4">
      <w:pPr>
        <w:spacing w:line="360" w:lineRule="auto"/>
        <w:ind w:firstLine="708"/>
        <w:jc w:val="both"/>
      </w:pPr>
    </w:p>
    <w:p w:rsidR="0084461A" w:rsidRPr="00B60B17" w:rsidRDefault="0084461A" w:rsidP="00DA07C4">
      <w:pPr>
        <w:spacing w:line="360" w:lineRule="auto"/>
        <w:ind w:firstLine="708"/>
        <w:jc w:val="both"/>
      </w:pPr>
    </w:p>
    <w:p w:rsidR="009F62CD" w:rsidRPr="00B60B17" w:rsidRDefault="009F62CD" w:rsidP="00B60B17">
      <w:pPr>
        <w:spacing w:line="360" w:lineRule="auto"/>
        <w:ind w:firstLine="708"/>
        <w:jc w:val="center"/>
        <w:rPr>
          <w:b/>
        </w:rPr>
      </w:pPr>
      <w:r w:rsidRPr="00B60B17">
        <w:rPr>
          <w:b/>
        </w:rPr>
        <w:lastRenderedPageBreak/>
        <w:t>Цель и задачи исследования</w:t>
      </w:r>
    </w:p>
    <w:p w:rsidR="007759AC" w:rsidRPr="00B60B17" w:rsidRDefault="007759AC" w:rsidP="00B60B17">
      <w:pPr>
        <w:spacing w:line="360" w:lineRule="auto"/>
        <w:ind w:firstLine="708"/>
        <w:jc w:val="both"/>
      </w:pPr>
      <w:r w:rsidRPr="00B60B17">
        <w:rPr>
          <w:b/>
        </w:rPr>
        <w:t>Целью</w:t>
      </w:r>
      <w:r w:rsidRPr="00B60B17">
        <w:t xml:space="preserve"> данного исследования является </w:t>
      </w:r>
      <w:r w:rsidRPr="00B60B17">
        <w:rPr>
          <w:rFonts w:eastAsiaTheme="minorEastAsia"/>
          <w:lang w:eastAsia="ja-JP"/>
        </w:rPr>
        <w:t xml:space="preserve">экономико-математическое </w:t>
      </w:r>
      <w:r w:rsidR="0084461A">
        <w:t>моделирование</w:t>
      </w:r>
      <w:r w:rsidRPr="00B60B17">
        <w:t xml:space="preserve"> </w:t>
      </w:r>
      <w:r w:rsidR="00496A84" w:rsidRPr="00B60B17">
        <w:t xml:space="preserve">гетерогенного </w:t>
      </w:r>
      <w:r w:rsidRPr="00B60B17">
        <w:t>поведения производителей и потребит</w:t>
      </w:r>
      <w:r w:rsidR="00496A84" w:rsidRPr="00B60B17">
        <w:t>елей</w:t>
      </w:r>
      <w:r w:rsidRPr="00B60B17">
        <w:t xml:space="preserve">, оценивание </w:t>
      </w:r>
      <w:r w:rsidR="00496A84" w:rsidRPr="00B60B17">
        <w:t>неоднородного э</w:t>
      </w:r>
      <w:r w:rsidRPr="00B60B17">
        <w:t xml:space="preserve">ффекта воздействия реформ </w:t>
      </w:r>
      <w:r w:rsidR="00496A84" w:rsidRPr="00B60B17">
        <w:t xml:space="preserve">в экономике </w:t>
      </w:r>
      <w:r w:rsidR="00CD2F41" w:rsidRPr="00B60B17">
        <w:t xml:space="preserve">США, Японии и </w:t>
      </w:r>
      <w:r w:rsidRPr="00B60B17">
        <w:t>Росси</w:t>
      </w:r>
      <w:r w:rsidR="00CD2F41" w:rsidRPr="00B60B17">
        <w:t>и</w:t>
      </w:r>
      <w:r w:rsidRPr="00B60B17">
        <w:t xml:space="preserve">. </w:t>
      </w:r>
    </w:p>
    <w:p w:rsidR="009F62CD" w:rsidRPr="00B60B17" w:rsidRDefault="009F62CD" w:rsidP="00B60B17">
      <w:pPr>
        <w:spacing w:line="360" w:lineRule="auto"/>
        <w:ind w:firstLine="708"/>
        <w:jc w:val="both"/>
      </w:pPr>
      <w:r w:rsidRPr="00B60B17">
        <w:t xml:space="preserve">В ходе исследования были выполнены следующие </w:t>
      </w:r>
      <w:r w:rsidRPr="00B60B17">
        <w:rPr>
          <w:b/>
        </w:rPr>
        <w:t>задачи</w:t>
      </w:r>
      <w:r w:rsidRPr="00B60B17">
        <w:t xml:space="preserve">: </w:t>
      </w:r>
    </w:p>
    <w:p w:rsidR="009F62CD" w:rsidRPr="00B60B17" w:rsidRDefault="000020B9" w:rsidP="00B60B17">
      <w:pPr>
        <w:pStyle w:val="ListParagraph"/>
        <w:numPr>
          <w:ilvl w:val="0"/>
          <w:numId w:val="11"/>
        </w:numPr>
        <w:spacing w:line="360" w:lineRule="auto"/>
        <w:jc w:val="both"/>
      </w:pPr>
      <w:r>
        <w:rPr>
          <w:rFonts w:eastAsia="MS Mincho"/>
          <w:lang w:eastAsia="ja-JP"/>
        </w:rPr>
        <w:t xml:space="preserve">Разработаны </w:t>
      </w:r>
      <w:r w:rsidR="00630D26" w:rsidRPr="00B60B17">
        <w:rPr>
          <w:rFonts w:eastAsia="MS Mincho"/>
          <w:lang w:eastAsia="ja-JP"/>
        </w:rPr>
        <w:t>параметрическ</w:t>
      </w:r>
      <w:r>
        <w:rPr>
          <w:rFonts w:eastAsia="MS Mincho"/>
          <w:lang w:eastAsia="ja-JP"/>
        </w:rPr>
        <w:t>ие</w:t>
      </w:r>
      <w:r w:rsidR="00630D26" w:rsidRPr="00B60B17">
        <w:rPr>
          <w:rFonts w:eastAsia="MS Mincho"/>
          <w:lang w:eastAsia="ja-JP"/>
        </w:rPr>
        <w:t xml:space="preserve"> модели</w:t>
      </w:r>
      <w:r>
        <w:rPr>
          <w:rFonts w:eastAsia="MS Mincho"/>
          <w:lang w:eastAsia="ja-JP"/>
        </w:rPr>
        <w:t xml:space="preserve"> для</w:t>
      </w:r>
      <w:r w:rsidR="00630D26" w:rsidRPr="00B60B17">
        <w:rPr>
          <w:rFonts w:eastAsia="MS Mincho"/>
          <w:lang w:eastAsia="ja-JP"/>
        </w:rPr>
        <w:t xml:space="preserve"> </w:t>
      </w:r>
      <w:r w:rsidR="009F62CD" w:rsidRPr="00B60B17">
        <w:rPr>
          <w:rFonts w:eastAsia="MS Mincho"/>
          <w:lang w:eastAsia="ja-JP"/>
        </w:rPr>
        <w:t xml:space="preserve">оценки </w:t>
      </w:r>
      <w:r w:rsidR="00F837D6" w:rsidRPr="00B60B17">
        <w:rPr>
          <w:rFonts w:eastAsia="MS Mincho"/>
          <w:lang w:eastAsia="ja-JP"/>
        </w:rPr>
        <w:t xml:space="preserve">ценовой </w:t>
      </w:r>
      <w:r w:rsidR="009F62CD" w:rsidRPr="00B60B17">
        <w:rPr>
          <w:rFonts w:eastAsia="MS Mincho"/>
          <w:lang w:eastAsia="ja-JP"/>
        </w:rPr>
        <w:t>эффективн</w:t>
      </w:r>
      <w:r w:rsidR="00F837D6" w:rsidRPr="00B60B17">
        <w:rPr>
          <w:rFonts w:eastAsia="MS Mincho"/>
          <w:lang w:eastAsia="ja-JP"/>
        </w:rPr>
        <w:t>ости производителей</w:t>
      </w:r>
      <w:r w:rsidR="00630D26" w:rsidRPr="00B60B17">
        <w:rPr>
          <w:rFonts w:eastAsia="MS Mincho"/>
          <w:lang w:eastAsia="ja-JP"/>
        </w:rPr>
        <w:t xml:space="preserve"> </w:t>
      </w:r>
      <w:r w:rsidR="00385EB3" w:rsidRPr="00B60B17">
        <w:rPr>
          <w:rFonts w:eastAsia="MS Mincho"/>
          <w:lang w:eastAsia="ja-JP"/>
        </w:rPr>
        <w:t xml:space="preserve">– </w:t>
      </w:r>
      <w:r w:rsidR="00F837D6" w:rsidRPr="00B60B17">
        <w:rPr>
          <w:rFonts w:eastAsia="MS Mincho"/>
          <w:lang w:eastAsia="ja-JP"/>
        </w:rPr>
        <w:t xml:space="preserve">с учетом </w:t>
      </w:r>
      <w:r w:rsidR="007F5FDF" w:rsidRPr="00B60B17">
        <w:rPr>
          <w:rFonts w:eastAsia="MS Mincho"/>
          <w:lang w:eastAsia="ja-JP"/>
        </w:rPr>
        <w:t>ненаблюдаемой гетерогенности</w:t>
      </w:r>
      <w:r w:rsidR="00630D26" w:rsidRPr="00B60B17">
        <w:rPr>
          <w:rFonts w:eastAsia="MS Mincho"/>
          <w:lang w:eastAsia="ja-JP"/>
        </w:rPr>
        <w:t xml:space="preserve"> в рамках анализа стохастической </w:t>
      </w:r>
      <w:r w:rsidRPr="00B60B17">
        <w:rPr>
          <w:rFonts w:eastAsia="MS Mincho"/>
          <w:lang w:eastAsia="ja-JP"/>
        </w:rPr>
        <w:t>границы (</w:t>
      </w:r>
      <w:r w:rsidR="00F837D6" w:rsidRPr="00B60B17">
        <w:rPr>
          <w:rFonts w:eastAsia="MS Mincho"/>
          <w:lang w:val="en-US" w:eastAsia="ja-JP"/>
        </w:rPr>
        <w:t>Besstremyannaya</w:t>
      </w:r>
      <w:r w:rsidR="0084461A" w:rsidRPr="0084461A">
        <w:rPr>
          <w:rFonts w:eastAsia="MS Mincho"/>
          <w:lang w:eastAsia="ja-JP"/>
        </w:rPr>
        <w:t>,</w:t>
      </w:r>
      <w:r w:rsidR="00F837D6" w:rsidRPr="00B60B17">
        <w:rPr>
          <w:rFonts w:eastAsia="MS Mincho"/>
          <w:lang w:eastAsia="ja-JP"/>
        </w:rPr>
        <w:t xml:space="preserve"> 2011)</w:t>
      </w:r>
      <w:r w:rsidR="00385EB3" w:rsidRPr="00B60B17">
        <w:t xml:space="preserve">, с помощью условных </w:t>
      </w:r>
      <w:proofErr w:type="spellStart"/>
      <w:r w:rsidR="00385EB3" w:rsidRPr="00B60B17">
        <w:t>квантильных</w:t>
      </w:r>
      <w:proofErr w:type="spellEnd"/>
      <w:r w:rsidR="00385EB3" w:rsidRPr="00B60B17">
        <w:t xml:space="preserve"> регрессий для анализа издержек банков </w:t>
      </w:r>
      <w:r w:rsidR="00385EB3" w:rsidRPr="00B60B17">
        <w:rPr>
          <w:rFonts w:eastAsiaTheme="minorEastAsia"/>
          <w:lang w:eastAsia="ja-JP"/>
        </w:rPr>
        <w:t>(</w:t>
      </w:r>
      <w:r w:rsidR="00385EB3" w:rsidRPr="00B60B17">
        <w:rPr>
          <w:rFonts w:eastAsiaTheme="minorEastAsia"/>
          <w:lang w:val="en-US" w:eastAsia="ja-JP"/>
        </w:rPr>
        <w:t>Besstremyannaya</w:t>
      </w:r>
      <w:r w:rsidR="00385EB3" w:rsidRPr="00B60B17">
        <w:rPr>
          <w:rFonts w:eastAsiaTheme="minorEastAsia"/>
          <w:lang w:eastAsia="ja-JP"/>
        </w:rPr>
        <w:t>, 2017</w:t>
      </w:r>
      <w:r w:rsidR="00681C9F" w:rsidRPr="00B60B17">
        <w:rPr>
          <w:rFonts w:eastAsiaTheme="minorEastAsia"/>
          <w:lang w:eastAsia="ja-JP"/>
        </w:rPr>
        <w:t>а</w:t>
      </w:r>
      <w:r w:rsidR="00385EB3" w:rsidRPr="00B60B17">
        <w:rPr>
          <w:rFonts w:eastAsiaTheme="minorEastAsia"/>
          <w:lang w:eastAsia="ja-JP"/>
        </w:rPr>
        <w:t>).</w:t>
      </w:r>
    </w:p>
    <w:p w:rsidR="00630D26" w:rsidRPr="00B60B17" w:rsidRDefault="000020B9" w:rsidP="00B60B17">
      <w:pPr>
        <w:pStyle w:val="ListParagraph"/>
        <w:numPr>
          <w:ilvl w:val="0"/>
          <w:numId w:val="11"/>
        </w:numPr>
        <w:spacing w:line="360" w:lineRule="auto"/>
        <w:jc w:val="both"/>
      </w:pPr>
      <w:r>
        <w:rPr>
          <w:rFonts w:eastAsiaTheme="minorEastAsia"/>
          <w:lang w:eastAsia="ja-JP"/>
        </w:rPr>
        <w:t>Разработан</w:t>
      </w:r>
      <w:r w:rsidR="00630D26" w:rsidRPr="00B60B17">
        <w:rPr>
          <w:rFonts w:eastAsiaTheme="minorEastAsia"/>
          <w:lang w:eastAsia="ja-JP"/>
        </w:rPr>
        <w:t xml:space="preserve"> </w:t>
      </w:r>
      <w:r>
        <w:rPr>
          <w:rFonts w:eastAsiaTheme="minorEastAsia"/>
          <w:lang w:eastAsia="ja-JP"/>
        </w:rPr>
        <w:t>м</w:t>
      </w:r>
      <w:r>
        <w:t>етод</w:t>
      </w:r>
      <w:r w:rsidR="00630D26" w:rsidRPr="00B60B17">
        <w:t xml:space="preserve"> робастного оценивания непараметрической ценовой эффективности банков (</w:t>
      </w:r>
      <w:r w:rsidR="00630D26" w:rsidRPr="00B60B17">
        <w:rPr>
          <w:rFonts w:eastAsiaTheme="minorEastAsia"/>
          <w:lang w:eastAsia="ja-JP"/>
        </w:rPr>
        <w:t>по отношению к кривой минимальных издержек</w:t>
      </w:r>
      <w:r w:rsidR="00630D26" w:rsidRPr="00B60B17">
        <w:t xml:space="preserve">, </w:t>
      </w:r>
      <w:r w:rsidR="00630D26" w:rsidRPr="00B60B17">
        <w:rPr>
          <w:rFonts w:eastAsiaTheme="minorEastAsia"/>
          <w:lang w:val="en-US" w:eastAsia="ja-JP"/>
        </w:rPr>
        <w:t>Besstremyannaya</w:t>
      </w:r>
      <w:r w:rsidR="00681C9F" w:rsidRPr="00B60B17">
        <w:rPr>
          <w:rFonts w:eastAsiaTheme="minorEastAsia"/>
          <w:lang w:eastAsia="ja-JP"/>
        </w:rPr>
        <w:t xml:space="preserve"> </w:t>
      </w:r>
      <w:r w:rsidR="00681C9F" w:rsidRPr="00B60B17">
        <w:rPr>
          <w:rFonts w:eastAsiaTheme="minorEastAsia"/>
          <w:lang w:val="en-US" w:eastAsia="ja-JP"/>
        </w:rPr>
        <w:t>and</w:t>
      </w:r>
      <w:r w:rsidR="00681C9F" w:rsidRPr="00B60B17">
        <w:rPr>
          <w:rFonts w:eastAsiaTheme="minorEastAsia"/>
          <w:lang w:eastAsia="ja-JP"/>
        </w:rPr>
        <w:t xml:space="preserve"> </w:t>
      </w:r>
      <w:proofErr w:type="spellStart"/>
      <w:r w:rsidR="00681C9F" w:rsidRPr="00B60B17">
        <w:rPr>
          <w:rFonts w:eastAsiaTheme="minorEastAsia"/>
          <w:lang w:val="en-US" w:eastAsia="ja-JP"/>
        </w:rPr>
        <w:t>Simm</w:t>
      </w:r>
      <w:proofErr w:type="spellEnd"/>
      <w:r w:rsidR="00630D26" w:rsidRPr="00B60B17">
        <w:rPr>
          <w:rFonts w:eastAsiaTheme="minorEastAsia"/>
          <w:lang w:eastAsia="ja-JP"/>
        </w:rPr>
        <w:t>, 2019)</w:t>
      </w:r>
      <w:r>
        <w:rPr>
          <w:rFonts w:eastAsiaTheme="minorEastAsia"/>
          <w:lang w:eastAsia="ja-JP"/>
        </w:rPr>
        <w:t xml:space="preserve">, а также адаптированы методы робастной оценки </w:t>
      </w:r>
      <w:r w:rsidR="00630D26" w:rsidRPr="00B60B17">
        <w:rPr>
          <w:rFonts w:eastAsiaTheme="minorEastAsia"/>
          <w:lang w:eastAsia="ja-JP"/>
        </w:rPr>
        <w:t>непараметрической технической эффективности производителей (по отношению к эффективному способу производства в эконом</w:t>
      </w:r>
      <w:r w:rsidR="00DA07C4">
        <w:rPr>
          <w:rFonts w:eastAsiaTheme="minorEastAsia"/>
          <w:lang w:eastAsia="ja-JP"/>
        </w:rPr>
        <w:t xml:space="preserve">ике здравоохранения, </w:t>
      </w:r>
      <w:r w:rsidR="00630D26" w:rsidRPr="00B60B17">
        <w:rPr>
          <w:rFonts w:eastAsia="MS Mincho"/>
          <w:lang w:val="en-US" w:eastAsia="ja-JP"/>
        </w:rPr>
        <w:t>Besstremyannaya</w:t>
      </w:r>
      <w:r w:rsidR="00630D26" w:rsidRPr="00B60B17">
        <w:rPr>
          <w:rFonts w:eastAsia="MS Mincho"/>
          <w:lang w:eastAsia="ja-JP"/>
        </w:rPr>
        <w:t xml:space="preserve"> 2013)</w:t>
      </w:r>
      <w:r w:rsidR="00630D26" w:rsidRPr="00B60B17">
        <w:t>.</w:t>
      </w:r>
    </w:p>
    <w:p w:rsidR="00F837D6" w:rsidRPr="00B60B17" w:rsidRDefault="000020B9" w:rsidP="00B60B17">
      <w:pPr>
        <w:pStyle w:val="ListParagraph"/>
        <w:numPr>
          <w:ilvl w:val="0"/>
          <w:numId w:val="11"/>
        </w:numPr>
        <w:spacing w:line="360" w:lineRule="auto"/>
        <w:jc w:val="both"/>
      </w:pPr>
      <w:r>
        <w:rPr>
          <w:rFonts w:eastAsiaTheme="minorEastAsia"/>
          <w:lang w:eastAsia="ja-JP"/>
        </w:rPr>
        <w:t>Использованы</w:t>
      </w:r>
      <w:r w:rsidR="001345D0" w:rsidRPr="00B60B17">
        <w:rPr>
          <w:rFonts w:eastAsiaTheme="minorEastAsia"/>
          <w:lang w:eastAsia="ja-JP"/>
        </w:rPr>
        <w:t xml:space="preserve"> </w:t>
      </w:r>
      <w:r w:rsidR="00F837D6" w:rsidRPr="00B60B17">
        <w:rPr>
          <w:rFonts w:eastAsiaTheme="minorEastAsia"/>
          <w:lang w:eastAsia="ja-JP"/>
        </w:rPr>
        <w:t xml:space="preserve">методы параметрического </w:t>
      </w:r>
      <w:r w:rsidR="00C268D7" w:rsidRPr="00B60B17">
        <w:rPr>
          <w:rFonts w:eastAsiaTheme="minorEastAsia"/>
          <w:lang w:eastAsia="ja-JP"/>
        </w:rPr>
        <w:t xml:space="preserve">моделирования </w:t>
      </w:r>
      <w:r w:rsidR="004F0D31" w:rsidRPr="00B60B17">
        <w:rPr>
          <w:rFonts w:eastAsiaTheme="minorEastAsia"/>
          <w:lang w:eastAsia="ja-JP"/>
        </w:rPr>
        <w:t xml:space="preserve">отраслевой </w:t>
      </w:r>
      <w:r w:rsidR="00F837D6" w:rsidRPr="00B60B17">
        <w:rPr>
          <w:rFonts w:eastAsiaTheme="minorEastAsia"/>
          <w:lang w:eastAsia="ja-JP"/>
        </w:rPr>
        <w:t xml:space="preserve">эффективности производителей (с </w:t>
      </w:r>
      <w:r w:rsidRPr="00B60B17">
        <w:rPr>
          <w:rFonts w:eastAsiaTheme="minorEastAsia"/>
          <w:lang w:eastAsia="ja-JP"/>
        </w:rPr>
        <w:t>точки зрения</w:t>
      </w:r>
      <w:r w:rsidR="00F837D6" w:rsidRPr="00B60B17">
        <w:rPr>
          <w:rFonts w:eastAsiaTheme="minorEastAsia"/>
          <w:lang w:eastAsia="ja-JP"/>
        </w:rPr>
        <w:t xml:space="preserve"> средней длительности госпитализации) и эффективности региональных систем здравоохранения (с точки зрения значения показателей младенческой и материнской смертности) с применением инструментальных переменных для панельных и </w:t>
      </w:r>
      <w:r w:rsidR="00DA07C4">
        <w:rPr>
          <w:rFonts w:eastAsiaTheme="minorEastAsia"/>
          <w:lang w:eastAsia="ja-JP"/>
        </w:rPr>
        <w:t xml:space="preserve">кросс-секционных </w:t>
      </w:r>
      <w:r w:rsidR="00F837D6" w:rsidRPr="00B60B17">
        <w:rPr>
          <w:rFonts w:eastAsiaTheme="minorEastAsia"/>
          <w:lang w:eastAsia="ja-JP"/>
        </w:rPr>
        <w:t xml:space="preserve">данных </w:t>
      </w:r>
      <w:r w:rsidR="00F837D6" w:rsidRPr="00B60B17">
        <w:rPr>
          <w:rFonts w:eastAsia="MS Mincho"/>
          <w:lang w:eastAsia="ja-JP"/>
        </w:rPr>
        <w:t>(</w:t>
      </w:r>
      <w:r w:rsidR="00F837D6" w:rsidRPr="00B60B17">
        <w:rPr>
          <w:rFonts w:eastAsia="MS Mincho"/>
          <w:lang w:val="en-US" w:eastAsia="ja-JP"/>
        </w:rPr>
        <w:t>Besstremyannaya</w:t>
      </w:r>
      <w:r w:rsidR="00F837D6" w:rsidRPr="00B60B17">
        <w:rPr>
          <w:rFonts w:eastAsia="MS Mincho"/>
          <w:lang w:eastAsia="ja-JP"/>
        </w:rPr>
        <w:t xml:space="preserve"> 201</w:t>
      </w:r>
      <w:r w:rsidR="00681C9F" w:rsidRPr="00B60B17">
        <w:rPr>
          <w:rFonts w:eastAsia="MS Mincho"/>
          <w:lang w:eastAsia="ja-JP"/>
        </w:rPr>
        <w:t>6</w:t>
      </w:r>
      <w:r w:rsidR="00F837D6" w:rsidRPr="00B60B17">
        <w:rPr>
          <w:rFonts w:eastAsia="MS Mincho"/>
          <w:lang w:eastAsia="ja-JP"/>
        </w:rPr>
        <w:t>, 201</w:t>
      </w:r>
      <w:r w:rsidR="00681C9F" w:rsidRPr="00B60B17">
        <w:rPr>
          <w:rFonts w:eastAsia="MS Mincho"/>
          <w:lang w:eastAsia="ja-JP"/>
        </w:rPr>
        <w:t>5а</w:t>
      </w:r>
      <w:r w:rsidR="00F837D6" w:rsidRPr="00B60B17">
        <w:rPr>
          <w:rFonts w:eastAsia="MS Mincho"/>
          <w:lang w:eastAsia="ja-JP"/>
        </w:rPr>
        <w:t>)</w:t>
      </w:r>
      <w:r w:rsidR="00F66E2E" w:rsidRPr="00B60B17">
        <w:t>.</w:t>
      </w:r>
    </w:p>
    <w:p w:rsidR="00F837D6" w:rsidRPr="00B60B17" w:rsidRDefault="000020B9" w:rsidP="00B60B17">
      <w:pPr>
        <w:pStyle w:val="ListParagraph"/>
        <w:numPr>
          <w:ilvl w:val="0"/>
          <w:numId w:val="11"/>
        </w:numPr>
        <w:spacing w:line="360" w:lineRule="auto"/>
        <w:jc w:val="both"/>
      </w:pPr>
      <w:r>
        <w:t>Применены</w:t>
      </w:r>
      <w:r w:rsidR="001345D0" w:rsidRPr="00B60B17">
        <w:t xml:space="preserve"> </w:t>
      </w:r>
      <w:r w:rsidR="00F837D6" w:rsidRPr="00B60B17">
        <w:t xml:space="preserve">методы параметрического </w:t>
      </w:r>
      <w:r w:rsidR="00681C9F" w:rsidRPr="00B60B17">
        <w:t xml:space="preserve">анализа для </w:t>
      </w:r>
      <w:r w:rsidR="00385EB3" w:rsidRPr="00B60B17">
        <w:t xml:space="preserve">оценивания гетерогенных эффектов макроэкономических шоков в банковской сфере </w:t>
      </w:r>
      <w:r w:rsidR="00385EB3" w:rsidRPr="00B60B17">
        <w:rPr>
          <w:rFonts w:eastAsiaTheme="minorEastAsia"/>
          <w:lang w:eastAsia="ja-JP"/>
        </w:rPr>
        <w:t>(Besstremyannaya, 2017</w:t>
      </w:r>
      <w:r w:rsidR="00681C9F" w:rsidRPr="00B60B17">
        <w:rPr>
          <w:rFonts w:eastAsiaTheme="minorEastAsia"/>
          <w:lang w:eastAsia="ja-JP"/>
        </w:rPr>
        <w:t>а</w:t>
      </w:r>
      <w:r w:rsidR="00385EB3" w:rsidRPr="00B60B17">
        <w:rPr>
          <w:rFonts w:eastAsiaTheme="minorEastAsia"/>
          <w:lang w:eastAsia="ja-JP"/>
        </w:rPr>
        <w:t xml:space="preserve">), </w:t>
      </w:r>
      <w:r w:rsidR="00681C9F" w:rsidRPr="00B60B17">
        <w:rPr>
          <w:rFonts w:eastAsiaTheme="minorEastAsia"/>
          <w:lang w:eastAsia="ja-JP"/>
        </w:rPr>
        <w:t>эластичности потребительского спроса по цене</w:t>
      </w:r>
      <w:r w:rsidR="00385EB3" w:rsidRPr="00B60B17">
        <w:rPr>
          <w:rFonts w:eastAsiaTheme="minorEastAsia"/>
          <w:lang w:eastAsia="ja-JP"/>
        </w:rPr>
        <w:t xml:space="preserve"> (Besstremyannaya, 2015</w:t>
      </w:r>
      <w:r w:rsidR="00681C9F" w:rsidRPr="00B60B17">
        <w:rPr>
          <w:rFonts w:eastAsiaTheme="minorEastAsia"/>
          <w:lang w:val="en-US" w:eastAsia="ja-JP"/>
        </w:rPr>
        <w:t>b</w:t>
      </w:r>
      <w:r w:rsidR="00385EB3" w:rsidRPr="00B60B17">
        <w:rPr>
          <w:rFonts w:eastAsiaTheme="minorEastAsia"/>
          <w:lang w:eastAsia="ja-JP"/>
        </w:rPr>
        <w:t xml:space="preserve">), </w:t>
      </w:r>
      <w:r w:rsidR="00681C9F" w:rsidRPr="00B60B17">
        <w:rPr>
          <w:rFonts w:eastAsiaTheme="minorEastAsia"/>
          <w:lang w:eastAsia="ja-JP"/>
        </w:rPr>
        <w:t>эффекта введени</w:t>
      </w:r>
      <w:r w:rsidR="0084461A">
        <w:rPr>
          <w:rFonts w:eastAsiaTheme="minorEastAsia"/>
          <w:lang w:eastAsia="ja-JP"/>
        </w:rPr>
        <w:t>я</w:t>
      </w:r>
      <w:r w:rsidR="00681C9F" w:rsidRPr="00B60B17">
        <w:rPr>
          <w:rFonts w:eastAsiaTheme="minorEastAsia"/>
          <w:lang w:eastAsia="ja-JP"/>
        </w:rPr>
        <w:t xml:space="preserve"> </w:t>
      </w:r>
      <w:r w:rsidR="00385EB3" w:rsidRPr="00B60B17">
        <w:rPr>
          <w:rFonts w:eastAsiaTheme="minorEastAsia"/>
          <w:lang w:eastAsia="ja-JP"/>
        </w:rPr>
        <w:t>мотивационных контрактов</w:t>
      </w:r>
      <w:r w:rsidR="00681C9F" w:rsidRPr="00B60B17">
        <w:rPr>
          <w:rFonts w:eastAsiaTheme="minorEastAsia"/>
          <w:lang w:eastAsia="ja-JP"/>
        </w:rPr>
        <w:t xml:space="preserve"> на показатели качества предприятий</w:t>
      </w:r>
      <w:r w:rsidR="00385EB3" w:rsidRPr="00B60B17">
        <w:rPr>
          <w:rFonts w:eastAsiaTheme="minorEastAsia"/>
          <w:lang w:eastAsia="ja-JP"/>
        </w:rPr>
        <w:t xml:space="preserve"> (</w:t>
      </w:r>
      <w:r w:rsidR="00385EB3" w:rsidRPr="00B60B17">
        <w:rPr>
          <w:rFonts w:eastAsiaTheme="minorEastAsia"/>
          <w:lang w:val="en-US" w:eastAsia="ja-JP"/>
        </w:rPr>
        <w:t>Besstremyannaya</w:t>
      </w:r>
      <w:r w:rsidR="00B11F52" w:rsidRPr="00B60B17">
        <w:rPr>
          <w:rFonts w:eastAsiaTheme="minorEastAsia"/>
          <w:lang w:eastAsia="ja-JP"/>
        </w:rPr>
        <w:t xml:space="preserve"> </w:t>
      </w:r>
      <w:r w:rsidR="00B11F52" w:rsidRPr="00B60B17">
        <w:rPr>
          <w:rFonts w:eastAsiaTheme="minorEastAsia"/>
          <w:lang w:val="en-US" w:eastAsia="ja-JP"/>
        </w:rPr>
        <w:t>and</w:t>
      </w:r>
      <w:r w:rsidR="00B11F52" w:rsidRPr="00B60B17">
        <w:rPr>
          <w:rFonts w:eastAsiaTheme="minorEastAsia"/>
          <w:lang w:eastAsia="ja-JP"/>
        </w:rPr>
        <w:t xml:space="preserve"> </w:t>
      </w:r>
      <w:r w:rsidR="00B11F52" w:rsidRPr="00B60B17">
        <w:rPr>
          <w:rFonts w:eastAsiaTheme="minorEastAsia"/>
          <w:lang w:val="en-US" w:eastAsia="ja-JP"/>
        </w:rPr>
        <w:t>Golovan</w:t>
      </w:r>
      <w:r w:rsidR="00385EB3" w:rsidRPr="00B60B17">
        <w:rPr>
          <w:rFonts w:eastAsiaTheme="minorEastAsia"/>
          <w:lang w:eastAsia="ja-JP"/>
        </w:rPr>
        <w:t>, 20</w:t>
      </w:r>
      <w:r w:rsidR="00B11F52" w:rsidRPr="00B60B17">
        <w:rPr>
          <w:rFonts w:eastAsiaTheme="minorEastAsia"/>
          <w:lang w:eastAsia="ja-JP"/>
        </w:rPr>
        <w:t>19</w:t>
      </w:r>
      <w:r w:rsidR="00681C9F" w:rsidRPr="00B60B17">
        <w:rPr>
          <w:rFonts w:eastAsiaTheme="minorEastAsia"/>
          <w:lang w:val="en-US" w:eastAsia="ja-JP"/>
        </w:rPr>
        <w:t>b</w:t>
      </w:r>
      <w:r w:rsidR="00385EB3" w:rsidRPr="00B60B17">
        <w:rPr>
          <w:rFonts w:eastAsiaTheme="minorEastAsia"/>
          <w:lang w:eastAsia="ja-JP"/>
        </w:rPr>
        <w:t xml:space="preserve">), </w:t>
      </w:r>
      <w:r w:rsidR="004F0D31" w:rsidRPr="00B60B17">
        <w:t xml:space="preserve">условного и безусловного </w:t>
      </w:r>
      <w:r w:rsidR="00F837D6" w:rsidRPr="00B60B17">
        <w:t xml:space="preserve">эффекта воздействия реформ </w:t>
      </w:r>
      <w:r w:rsidR="00681C9F" w:rsidRPr="00B60B17">
        <w:t xml:space="preserve">финансирования </w:t>
      </w:r>
      <w:r w:rsidR="00F837D6" w:rsidRPr="00B60B17">
        <w:rPr>
          <w:rFonts w:eastAsia="MS Mincho"/>
          <w:lang w:eastAsia="ja-JP"/>
        </w:rPr>
        <w:t>(</w:t>
      </w:r>
      <w:r w:rsidR="00F837D6" w:rsidRPr="00B60B17">
        <w:rPr>
          <w:rFonts w:eastAsia="MS Mincho"/>
          <w:lang w:val="en-US" w:eastAsia="ja-JP"/>
        </w:rPr>
        <w:t>Besstremyannaya</w:t>
      </w:r>
      <w:r w:rsidR="0084461A">
        <w:rPr>
          <w:rFonts w:eastAsia="MS Mincho"/>
          <w:lang w:eastAsia="ja-JP"/>
        </w:rPr>
        <w:t>,</w:t>
      </w:r>
      <w:r w:rsidR="00F837D6" w:rsidRPr="00B60B17">
        <w:rPr>
          <w:rFonts w:eastAsia="MS Mincho"/>
          <w:lang w:eastAsia="ja-JP"/>
        </w:rPr>
        <w:t xml:space="preserve"> 2013)</w:t>
      </w:r>
      <w:r w:rsidR="00F66E2E" w:rsidRPr="00B60B17">
        <w:t>.</w:t>
      </w:r>
    </w:p>
    <w:p w:rsidR="00F837D6" w:rsidRPr="00B60B17" w:rsidRDefault="000020B9" w:rsidP="00B60B17">
      <w:pPr>
        <w:pStyle w:val="ListParagraph"/>
        <w:numPr>
          <w:ilvl w:val="0"/>
          <w:numId w:val="11"/>
        </w:numPr>
        <w:spacing w:line="360" w:lineRule="auto"/>
        <w:jc w:val="both"/>
      </w:pPr>
      <w:r>
        <w:rPr>
          <w:rFonts w:eastAsiaTheme="minorEastAsia"/>
          <w:lang w:eastAsia="ja-JP"/>
        </w:rPr>
        <w:t xml:space="preserve">Разработаны </w:t>
      </w:r>
      <w:r w:rsidR="00F837D6" w:rsidRPr="00B60B17">
        <w:rPr>
          <w:rFonts w:eastAsiaTheme="minorEastAsia"/>
          <w:lang w:eastAsia="ja-JP"/>
        </w:rPr>
        <w:t xml:space="preserve">методы параметрического </w:t>
      </w:r>
      <w:r w:rsidR="00C268D7" w:rsidRPr="00B60B17">
        <w:rPr>
          <w:rFonts w:eastAsiaTheme="minorEastAsia"/>
          <w:lang w:eastAsia="ja-JP"/>
        </w:rPr>
        <w:t xml:space="preserve">моделирования </w:t>
      </w:r>
      <w:r w:rsidR="00F837D6" w:rsidRPr="00B60B17">
        <w:rPr>
          <w:rFonts w:eastAsiaTheme="minorEastAsia"/>
          <w:lang w:eastAsia="ja-JP"/>
        </w:rPr>
        <w:t xml:space="preserve">потребительского спроса с учетом ненаблюдаемой гетерогенности </w:t>
      </w:r>
      <w:r w:rsidR="00681C9F" w:rsidRPr="00B60B17">
        <w:rPr>
          <w:rFonts w:eastAsiaTheme="minorEastAsia"/>
          <w:lang w:eastAsia="ja-JP"/>
        </w:rPr>
        <w:t xml:space="preserve">в рамках моделей с латентными классами </w:t>
      </w:r>
      <w:r w:rsidR="00F837D6" w:rsidRPr="00B60B17">
        <w:rPr>
          <w:rFonts w:eastAsiaTheme="minorEastAsia"/>
          <w:lang w:eastAsia="ja-JP"/>
        </w:rPr>
        <w:t>(</w:t>
      </w:r>
      <w:r w:rsidR="00F837D6" w:rsidRPr="00B60B17">
        <w:rPr>
          <w:rFonts w:eastAsia="MS Mincho"/>
          <w:lang w:val="en-US" w:eastAsia="ja-JP"/>
        </w:rPr>
        <w:t>Besstremyannaya</w:t>
      </w:r>
      <w:r w:rsidR="0084461A">
        <w:rPr>
          <w:rFonts w:eastAsia="MS Mincho"/>
          <w:lang w:eastAsia="ja-JP"/>
        </w:rPr>
        <w:t>,</w:t>
      </w:r>
      <w:r w:rsidR="00F837D6" w:rsidRPr="00B60B17">
        <w:rPr>
          <w:rFonts w:eastAsia="MS Mincho"/>
          <w:lang w:eastAsia="ja-JP"/>
        </w:rPr>
        <w:t xml:space="preserve"> 201</w:t>
      </w:r>
      <w:r w:rsidR="00681C9F" w:rsidRPr="00B60B17">
        <w:rPr>
          <w:rFonts w:eastAsia="MS Mincho"/>
          <w:lang w:eastAsia="ja-JP"/>
        </w:rPr>
        <w:t>7b, 2015</w:t>
      </w:r>
      <w:r w:rsidR="00681C9F" w:rsidRPr="00B60B17">
        <w:rPr>
          <w:rFonts w:eastAsia="MS Mincho"/>
          <w:lang w:val="en-US" w:eastAsia="ja-JP"/>
        </w:rPr>
        <w:t>b</w:t>
      </w:r>
      <w:r w:rsidR="00F837D6" w:rsidRPr="00B60B17">
        <w:rPr>
          <w:rFonts w:eastAsia="MS Mincho"/>
          <w:lang w:eastAsia="ja-JP"/>
        </w:rPr>
        <w:t>)</w:t>
      </w:r>
      <w:r w:rsidR="00F66E2E" w:rsidRPr="00B60B17">
        <w:t>.</w:t>
      </w:r>
    </w:p>
    <w:p w:rsidR="009F62CD" w:rsidRPr="00B60B17" w:rsidRDefault="001345D0" w:rsidP="00B60B17">
      <w:pPr>
        <w:pStyle w:val="ListParagraph"/>
        <w:numPr>
          <w:ilvl w:val="0"/>
          <w:numId w:val="11"/>
        </w:numPr>
        <w:spacing w:line="360" w:lineRule="auto"/>
        <w:jc w:val="both"/>
      </w:pPr>
      <w:r w:rsidRPr="00B60B17">
        <w:t xml:space="preserve">Проведен </w:t>
      </w:r>
      <w:r w:rsidR="009F62CD" w:rsidRPr="00B60B17">
        <w:t xml:space="preserve">статистический анализ микро данных обследований </w:t>
      </w:r>
      <w:r w:rsidR="00385EB3" w:rsidRPr="00B60B17">
        <w:t xml:space="preserve">домохозяйств Японии и России; анализ </w:t>
      </w:r>
      <w:proofErr w:type="spellStart"/>
      <w:r w:rsidR="00385EB3" w:rsidRPr="00B60B17">
        <w:t>микроданных</w:t>
      </w:r>
      <w:proofErr w:type="spellEnd"/>
      <w:r w:rsidR="00385EB3" w:rsidRPr="00B60B17">
        <w:t xml:space="preserve"> финансовой отчетности </w:t>
      </w:r>
      <w:r w:rsidR="0084461A">
        <w:t xml:space="preserve">японских </w:t>
      </w:r>
      <w:r w:rsidR="00385EB3" w:rsidRPr="00B60B17">
        <w:t>банков</w:t>
      </w:r>
      <w:r w:rsidR="0084461A">
        <w:t xml:space="preserve"> </w:t>
      </w:r>
      <w:proofErr w:type="gramStart"/>
      <w:r w:rsidR="0084461A">
        <w:t>и</w:t>
      </w:r>
      <w:r w:rsidR="00385EB3" w:rsidRPr="00B60B17">
        <w:t xml:space="preserve">  учреждений</w:t>
      </w:r>
      <w:proofErr w:type="gramEnd"/>
      <w:r w:rsidR="00385EB3" w:rsidRPr="00B60B17">
        <w:t xml:space="preserve"> здравоохранения США и Японии; анализ макро и региональной статистики США, Японии и России; анализ вторичных данных о российских предприятиях и их сделках </w:t>
      </w:r>
      <w:r w:rsidR="00385EB3" w:rsidRPr="00B60B17">
        <w:lastRenderedPageBreak/>
        <w:t xml:space="preserve">слияний и поглощений; анализ нормативно-правовых документов для экономик США, Японии и России. </w:t>
      </w:r>
    </w:p>
    <w:p w:rsidR="00DF5200" w:rsidRPr="00B60B17" w:rsidRDefault="00F66E2E" w:rsidP="00B60B17">
      <w:pPr>
        <w:pStyle w:val="ListParagraph"/>
        <w:numPr>
          <w:ilvl w:val="0"/>
          <w:numId w:val="11"/>
        </w:numPr>
        <w:spacing w:line="360" w:lineRule="auto"/>
        <w:jc w:val="both"/>
      </w:pPr>
      <w:r w:rsidRPr="00B60B17">
        <w:t>П</w:t>
      </w:r>
      <w:r w:rsidR="00DF5200" w:rsidRPr="00B60B17">
        <w:t>олучены оценки</w:t>
      </w:r>
      <w:r w:rsidR="007F5FDF" w:rsidRPr="00B60B17">
        <w:t xml:space="preserve"> производственной и ценовой эффективности </w:t>
      </w:r>
      <w:r w:rsidR="0084461A">
        <w:t>групп п</w:t>
      </w:r>
      <w:r w:rsidR="007F5FDF" w:rsidRPr="00B60B17">
        <w:t>роизводителей</w:t>
      </w:r>
      <w:r w:rsidR="00630D26" w:rsidRPr="00B60B17">
        <w:t xml:space="preserve"> в банковской сфере и экономике здравоохранения</w:t>
      </w:r>
      <w:r w:rsidR="007F5FDF" w:rsidRPr="00B60B17">
        <w:t>; эластичности спроса по доходу и цене</w:t>
      </w:r>
      <w:r w:rsidR="001345D0" w:rsidRPr="00B60B17">
        <w:t xml:space="preserve"> </w:t>
      </w:r>
      <w:r w:rsidR="0084461A">
        <w:t>для групп потребителей</w:t>
      </w:r>
      <w:r w:rsidR="007F5FDF" w:rsidRPr="00B60B17">
        <w:t xml:space="preserve">; </w:t>
      </w:r>
      <w:r w:rsidR="001345D0" w:rsidRPr="00B60B17">
        <w:t>проведено оценивание результативности</w:t>
      </w:r>
      <w:r w:rsidR="007F5FDF" w:rsidRPr="00B60B17">
        <w:t xml:space="preserve"> реги</w:t>
      </w:r>
      <w:r w:rsidR="001345D0" w:rsidRPr="00B60B17">
        <w:t>ональных систем здравоохранения в Российской Федерации.</w:t>
      </w:r>
    </w:p>
    <w:p w:rsidR="009F62CD" w:rsidRPr="00B60B17" w:rsidRDefault="009F62CD" w:rsidP="00B60B17">
      <w:pPr>
        <w:spacing w:line="360" w:lineRule="auto"/>
        <w:ind w:firstLine="708"/>
        <w:jc w:val="both"/>
      </w:pPr>
      <w:r w:rsidRPr="00B60B17">
        <w:rPr>
          <w:b/>
        </w:rPr>
        <w:t xml:space="preserve">Научная новизна работы </w:t>
      </w:r>
      <w:r w:rsidRPr="00B60B17">
        <w:t xml:space="preserve">заключается в следующем: </w:t>
      </w:r>
    </w:p>
    <w:p w:rsidR="00FA6A73" w:rsidRDefault="006B53D9" w:rsidP="00B60B17">
      <w:pPr>
        <w:pStyle w:val="ListParagraph"/>
        <w:numPr>
          <w:ilvl w:val="0"/>
          <w:numId w:val="12"/>
        </w:numPr>
        <w:spacing w:line="360" w:lineRule="auto"/>
        <w:ind w:left="709" w:hanging="425"/>
        <w:jc w:val="both"/>
        <w:rPr>
          <w:lang w:eastAsia="ja-JP"/>
        </w:rPr>
      </w:pPr>
      <w:r w:rsidRPr="00B60B17">
        <w:rPr>
          <w:lang w:eastAsia="ja-JP"/>
        </w:rPr>
        <w:t>В</w:t>
      </w:r>
      <w:r w:rsidR="00FA6A73" w:rsidRPr="00B60B17">
        <w:rPr>
          <w:lang w:eastAsia="ja-JP"/>
        </w:rPr>
        <w:t xml:space="preserve">первые </w:t>
      </w:r>
      <w:r w:rsidR="0023491C">
        <w:rPr>
          <w:lang w:eastAsia="ja-JP"/>
        </w:rPr>
        <w:t>разработана модель для</w:t>
      </w:r>
      <w:r w:rsidR="00DA07C4">
        <w:rPr>
          <w:lang w:eastAsia="ja-JP"/>
        </w:rPr>
        <w:t xml:space="preserve"> </w:t>
      </w:r>
      <w:r w:rsidR="0014233B" w:rsidRPr="00B60B17">
        <w:rPr>
          <w:lang w:eastAsia="ja-JP"/>
        </w:rPr>
        <w:t>анализ</w:t>
      </w:r>
      <w:r w:rsidR="0023491C">
        <w:rPr>
          <w:lang w:eastAsia="ja-JP"/>
        </w:rPr>
        <w:t>а</w:t>
      </w:r>
      <w:r w:rsidR="0014233B" w:rsidRPr="00B60B17">
        <w:rPr>
          <w:lang w:eastAsia="ja-JP"/>
        </w:rPr>
        <w:t xml:space="preserve"> </w:t>
      </w:r>
      <w:r w:rsidR="006E6792" w:rsidRPr="00B60B17">
        <w:rPr>
          <w:lang w:eastAsia="ja-JP"/>
        </w:rPr>
        <w:t>стохастическо</w:t>
      </w:r>
      <w:r w:rsidR="0014233B" w:rsidRPr="00B60B17">
        <w:rPr>
          <w:lang w:eastAsia="ja-JP"/>
        </w:rPr>
        <w:t>й</w:t>
      </w:r>
      <w:r w:rsidR="00FA6A73" w:rsidRPr="00B60B17">
        <w:rPr>
          <w:lang w:eastAsia="ja-JP"/>
        </w:rPr>
        <w:t xml:space="preserve"> границ</w:t>
      </w:r>
      <w:r w:rsidR="0014233B" w:rsidRPr="00B60B17">
        <w:rPr>
          <w:lang w:eastAsia="ja-JP"/>
        </w:rPr>
        <w:t>ы</w:t>
      </w:r>
      <w:r w:rsidR="0023491C">
        <w:rPr>
          <w:lang w:eastAsia="ja-JP"/>
        </w:rPr>
        <w:t xml:space="preserve"> с латентными классами для о</w:t>
      </w:r>
      <w:r w:rsidR="00DA07C4">
        <w:rPr>
          <w:lang w:eastAsia="ja-JP"/>
        </w:rPr>
        <w:t xml:space="preserve">ценивания </w:t>
      </w:r>
      <w:r w:rsidR="00FA6A73" w:rsidRPr="00B60B17">
        <w:rPr>
          <w:lang w:eastAsia="ja-JP"/>
        </w:rPr>
        <w:t>функции издержек</w:t>
      </w:r>
      <w:r w:rsidR="006E6792" w:rsidRPr="00B60B17">
        <w:rPr>
          <w:lang w:eastAsia="ja-JP"/>
        </w:rPr>
        <w:t xml:space="preserve"> </w:t>
      </w:r>
      <w:proofErr w:type="spellStart"/>
      <w:r w:rsidR="0023491C">
        <w:rPr>
          <w:lang w:eastAsia="ja-JP"/>
        </w:rPr>
        <w:t>многопродуктовых</w:t>
      </w:r>
      <w:proofErr w:type="spellEnd"/>
      <w:r w:rsidR="0023491C">
        <w:rPr>
          <w:lang w:eastAsia="ja-JP"/>
        </w:rPr>
        <w:t xml:space="preserve"> </w:t>
      </w:r>
      <w:r w:rsidR="006E6792" w:rsidRPr="00B60B17">
        <w:rPr>
          <w:lang w:eastAsia="ja-JP"/>
        </w:rPr>
        <w:t>производителей в эконом</w:t>
      </w:r>
      <w:r w:rsidR="005343D3" w:rsidRPr="00B60B17">
        <w:rPr>
          <w:lang w:eastAsia="ja-JP"/>
        </w:rPr>
        <w:t>и</w:t>
      </w:r>
      <w:r w:rsidR="006E6792" w:rsidRPr="00B60B17">
        <w:rPr>
          <w:lang w:eastAsia="ja-JP"/>
        </w:rPr>
        <w:t xml:space="preserve">ке здравоохранения </w:t>
      </w:r>
      <w:r w:rsidR="00FA6A73" w:rsidRPr="00B60B17">
        <w:rPr>
          <w:lang w:eastAsia="ja-JP"/>
        </w:rPr>
        <w:t>(</w:t>
      </w:r>
      <w:r w:rsidR="00FA6A73" w:rsidRPr="00B60B17">
        <w:rPr>
          <w:lang w:val="en-US" w:eastAsia="ja-JP"/>
        </w:rPr>
        <w:t>Besstremyannaya</w:t>
      </w:r>
      <w:r w:rsidR="0084461A">
        <w:rPr>
          <w:lang w:eastAsia="ja-JP"/>
        </w:rPr>
        <w:t>,</w:t>
      </w:r>
      <w:r w:rsidR="00FA6A73" w:rsidRPr="00B60B17">
        <w:rPr>
          <w:lang w:eastAsia="ja-JP"/>
        </w:rPr>
        <w:t xml:space="preserve"> 2011). </w:t>
      </w:r>
    </w:p>
    <w:p w:rsidR="0023491C" w:rsidRPr="0023491C" w:rsidRDefault="0023491C" w:rsidP="00B60B17">
      <w:pPr>
        <w:pStyle w:val="ListParagraph"/>
        <w:numPr>
          <w:ilvl w:val="0"/>
          <w:numId w:val="12"/>
        </w:numPr>
        <w:spacing w:line="360" w:lineRule="auto"/>
        <w:ind w:left="709" w:hanging="425"/>
        <w:jc w:val="both"/>
        <w:rPr>
          <w:lang w:eastAsia="ja-JP"/>
        </w:rPr>
      </w:pPr>
      <w:r>
        <w:rPr>
          <w:rFonts w:eastAsiaTheme="minorEastAsia"/>
          <w:lang w:eastAsia="ja-JP"/>
        </w:rPr>
        <w:t>Впервые разработан</w:t>
      </w:r>
      <w:r w:rsidRPr="00B60B17">
        <w:rPr>
          <w:rFonts w:eastAsiaTheme="minorEastAsia"/>
          <w:lang w:eastAsia="ja-JP"/>
        </w:rPr>
        <w:t xml:space="preserve"> </w:t>
      </w:r>
      <w:r>
        <w:rPr>
          <w:rFonts w:eastAsiaTheme="minorEastAsia"/>
          <w:lang w:eastAsia="ja-JP"/>
        </w:rPr>
        <w:t>м</w:t>
      </w:r>
      <w:r>
        <w:t>етод</w:t>
      </w:r>
      <w:r w:rsidRPr="00B60B17">
        <w:t xml:space="preserve"> робастного оценивания непараме</w:t>
      </w:r>
      <w:r>
        <w:t xml:space="preserve">трической ценовой эффективности </w:t>
      </w:r>
      <w:r w:rsidRPr="00B60B17">
        <w:rPr>
          <w:rFonts w:eastAsiaTheme="minorEastAsia"/>
          <w:lang w:eastAsia="ja-JP"/>
        </w:rPr>
        <w:t>по отношению к кривой минимальных издержек</w:t>
      </w:r>
      <w:r w:rsidRPr="00B60B17">
        <w:t xml:space="preserve"> </w:t>
      </w:r>
      <w:r>
        <w:t>и применен к анализу данных об издержках банков (</w:t>
      </w:r>
      <w:r w:rsidRPr="00B60B17">
        <w:rPr>
          <w:rFonts w:eastAsiaTheme="minorEastAsia"/>
          <w:lang w:val="en-US" w:eastAsia="ja-JP"/>
        </w:rPr>
        <w:t>Besstremyannaya</w:t>
      </w:r>
      <w:r w:rsidRPr="00B60B17">
        <w:rPr>
          <w:rFonts w:eastAsiaTheme="minorEastAsia"/>
          <w:lang w:eastAsia="ja-JP"/>
        </w:rPr>
        <w:t xml:space="preserve"> </w:t>
      </w:r>
      <w:r w:rsidRPr="00B60B17">
        <w:rPr>
          <w:rFonts w:eastAsiaTheme="minorEastAsia"/>
          <w:lang w:val="en-US" w:eastAsia="ja-JP"/>
        </w:rPr>
        <w:t>and</w:t>
      </w:r>
      <w:r w:rsidRPr="00B60B17">
        <w:rPr>
          <w:rFonts w:eastAsiaTheme="minorEastAsia"/>
          <w:lang w:eastAsia="ja-JP"/>
        </w:rPr>
        <w:t xml:space="preserve"> </w:t>
      </w:r>
      <w:proofErr w:type="spellStart"/>
      <w:r w:rsidRPr="00B60B17">
        <w:rPr>
          <w:rFonts w:eastAsiaTheme="minorEastAsia"/>
          <w:lang w:val="en-US" w:eastAsia="ja-JP"/>
        </w:rPr>
        <w:t>Simm</w:t>
      </w:r>
      <w:proofErr w:type="spellEnd"/>
      <w:r w:rsidRPr="00B60B17">
        <w:rPr>
          <w:rFonts w:eastAsiaTheme="minorEastAsia"/>
          <w:lang w:eastAsia="ja-JP"/>
        </w:rPr>
        <w:t>, 2019)</w:t>
      </w:r>
      <w:r>
        <w:rPr>
          <w:rFonts w:eastAsiaTheme="minorEastAsia"/>
          <w:lang w:eastAsia="ja-JP"/>
        </w:rPr>
        <w:t>.</w:t>
      </w:r>
    </w:p>
    <w:p w:rsidR="0023491C" w:rsidRPr="00B60B17" w:rsidRDefault="0023491C" w:rsidP="00B60B17">
      <w:pPr>
        <w:pStyle w:val="ListParagraph"/>
        <w:numPr>
          <w:ilvl w:val="0"/>
          <w:numId w:val="12"/>
        </w:numPr>
        <w:spacing w:line="360" w:lineRule="auto"/>
        <w:ind w:left="709" w:hanging="425"/>
        <w:jc w:val="both"/>
        <w:rPr>
          <w:lang w:eastAsia="ja-JP"/>
        </w:rPr>
      </w:pPr>
      <w:r>
        <w:rPr>
          <w:rFonts w:eastAsiaTheme="minorEastAsia"/>
          <w:lang w:eastAsia="ja-JP"/>
        </w:rPr>
        <w:t xml:space="preserve">Впервые указано на существование асимптотического смещения в </w:t>
      </w:r>
      <w:proofErr w:type="spellStart"/>
      <w:r>
        <w:rPr>
          <w:rFonts w:eastAsiaTheme="minorEastAsia"/>
          <w:lang w:eastAsia="ja-JP"/>
        </w:rPr>
        <w:t>двухшаговой</w:t>
      </w:r>
      <w:proofErr w:type="spellEnd"/>
      <w:r>
        <w:rPr>
          <w:rFonts w:eastAsiaTheme="minorEastAsia"/>
          <w:lang w:eastAsia="ja-JP"/>
        </w:rPr>
        <w:t xml:space="preserve"> оценке условных </w:t>
      </w:r>
      <w:proofErr w:type="spellStart"/>
      <w:r>
        <w:rPr>
          <w:rFonts w:eastAsiaTheme="minorEastAsia"/>
          <w:lang w:eastAsia="ja-JP"/>
        </w:rPr>
        <w:t>квантильных</w:t>
      </w:r>
      <w:proofErr w:type="spellEnd"/>
      <w:r>
        <w:rPr>
          <w:rFonts w:eastAsiaTheme="minorEastAsia"/>
          <w:lang w:eastAsia="ja-JP"/>
        </w:rPr>
        <w:t xml:space="preserve"> регрессий с не зависящими от квантиля фиксированными эффектами и предложены рекомендации по снижению смещения (</w:t>
      </w:r>
      <w:r>
        <w:rPr>
          <w:rFonts w:eastAsiaTheme="minorEastAsia"/>
          <w:lang w:val="en-US" w:eastAsia="ja-JP"/>
        </w:rPr>
        <w:t>Besstremyannaya</w:t>
      </w:r>
      <w:r w:rsidRPr="0023491C">
        <w:rPr>
          <w:rFonts w:eastAsiaTheme="minorEastAsia"/>
          <w:lang w:eastAsia="ja-JP"/>
        </w:rPr>
        <w:t xml:space="preserve"> </w:t>
      </w:r>
      <w:r>
        <w:rPr>
          <w:rFonts w:eastAsiaTheme="minorEastAsia"/>
          <w:lang w:val="en-US" w:eastAsia="ja-JP"/>
        </w:rPr>
        <w:t>and</w:t>
      </w:r>
      <w:r w:rsidRPr="0023491C">
        <w:rPr>
          <w:rFonts w:eastAsiaTheme="minorEastAsia"/>
          <w:lang w:eastAsia="ja-JP"/>
        </w:rPr>
        <w:t xml:space="preserve"> </w:t>
      </w:r>
      <w:r>
        <w:rPr>
          <w:rFonts w:eastAsiaTheme="minorEastAsia"/>
          <w:lang w:val="en-US" w:eastAsia="ja-JP"/>
        </w:rPr>
        <w:t>Golovan</w:t>
      </w:r>
      <w:r w:rsidR="0084461A">
        <w:rPr>
          <w:rFonts w:eastAsiaTheme="minorEastAsia"/>
          <w:lang w:eastAsia="ja-JP"/>
        </w:rPr>
        <w:t>,</w:t>
      </w:r>
      <w:r w:rsidRPr="0023491C">
        <w:rPr>
          <w:rFonts w:eastAsiaTheme="minorEastAsia"/>
          <w:lang w:eastAsia="ja-JP"/>
        </w:rPr>
        <w:t xml:space="preserve"> 2019, 2021).</w:t>
      </w:r>
    </w:p>
    <w:p w:rsidR="006B53D9" w:rsidRPr="00B60B17" w:rsidRDefault="006B53D9" w:rsidP="00B60B17">
      <w:pPr>
        <w:pStyle w:val="ListParagraph"/>
        <w:numPr>
          <w:ilvl w:val="0"/>
          <w:numId w:val="12"/>
        </w:numPr>
        <w:spacing w:line="360" w:lineRule="auto"/>
        <w:ind w:left="709" w:hanging="425"/>
        <w:jc w:val="both"/>
      </w:pPr>
      <w:r w:rsidRPr="00B60B17">
        <w:t xml:space="preserve">Впервые </w:t>
      </w:r>
      <w:r w:rsidR="0023491C">
        <w:t>адаптированы</w:t>
      </w:r>
      <w:r w:rsidRPr="00B60B17">
        <w:rPr>
          <w:rFonts w:eastAsiaTheme="minorEastAsia"/>
          <w:lang w:eastAsia="ja-JP"/>
        </w:rPr>
        <w:t xml:space="preserve"> </w:t>
      </w:r>
      <w:r w:rsidRPr="00B60B17">
        <w:rPr>
          <w:lang w:eastAsia="ja-JP"/>
        </w:rPr>
        <w:t>обобщенные линейны</w:t>
      </w:r>
      <w:r w:rsidR="005343D3" w:rsidRPr="00B60B17">
        <w:rPr>
          <w:lang w:eastAsia="ja-JP"/>
        </w:rPr>
        <w:t>е</w:t>
      </w:r>
      <w:r w:rsidRPr="00B60B17">
        <w:rPr>
          <w:lang w:eastAsia="ja-JP"/>
        </w:rPr>
        <w:t xml:space="preserve"> модели с латентными классами</w:t>
      </w:r>
      <w:r w:rsidRPr="00B60B17">
        <w:t xml:space="preserve"> для моделирования потребительского спроса на медицинские услуги и лекарства, а также впервые </w:t>
      </w:r>
      <w:r w:rsidRPr="00B60B17">
        <w:rPr>
          <w:lang w:eastAsia="ja-JP"/>
        </w:rPr>
        <w:t>осуществлено</w:t>
      </w:r>
      <w:r w:rsidR="006E6792" w:rsidRPr="00B60B17">
        <w:rPr>
          <w:lang w:eastAsia="ja-JP"/>
        </w:rPr>
        <w:t xml:space="preserve"> оценивания эффекта воздействия в </w:t>
      </w:r>
      <w:r w:rsidR="004F0D31" w:rsidRPr="00B60B17">
        <w:rPr>
          <w:lang w:eastAsia="ja-JP"/>
        </w:rPr>
        <w:t xml:space="preserve">линейных и </w:t>
      </w:r>
      <w:r w:rsidR="006E6792" w:rsidRPr="00B60B17">
        <w:rPr>
          <w:lang w:eastAsia="ja-JP"/>
        </w:rPr>
        <w:t xml:space="preserve">обобщенных </w:t>
      </w:r>
      <w:r w:rsidR="004F0D31" w:rsidRPr="00B60B17">
        <w:rPr>
          <w:lang w:eastAsia="ja-JP"/>
        </w:rPr>
        <w:t xml:space="preserve">линейных </w:t>
      </w:r>
      <w:r w:rsidR="006E6792" w:rsidRPr="00B60B17">
        <w:rPr>
          <w:lang w:eastAsia="ja-JP"/>
        </w:rPr>
        <w:t>моделях</w:t>
      </w:r>
      <w:r w:rsidRPr="00B60B17">
        <w:t xml:space="preserve"> </w:t>
      </w:r>
      <w:r w:rsidR="006E6792" w:rsidRPr="00B60B17">
        <w:t xml:space="preserve">с латентными классами </w:t>
      </w:r>
      <w:r w:rsidRPr="00B60B17">
        <w:t>(</w:t>
      </w:r>
      <w:r w:rsidRPr="00B60B17">
        <w:rPr>
          <w:lang w:val="en-US"/>
        </w:rPr>
        <w:t>Besstremyannaya</w:t>
      </w:r>
      <w:r w:rsidR="0084461A">
        <w:t>,</w:t>
      </w:r>
      <w:r w:rsidRPr="00B60B17">
        <w:t xml:space="preserve"> 201</w:t>
      </w:r>
      <w:r w:rsidR="00681C9F" w:rsidRPr="00B60B17">
        <w:t>5</w:t>
      </w:r>
      <w:r w:rsidR="00681C9F" w:rsidRPr="00B60B17">
        <w:rPr>
          <w:lang w:val="en-US"/>
        </w:rPr>
        <w:t>b</w:t>
      </w:r>
      <w:r w:rsidR="00DA07C4">
        <w:t>, 2017</w:t>
      </w:r>
      <w:r w:rsidR="00DA07C4">
        <w:rPr>
          <w:rFonts w:eastAsiaTheme="minorEastAsia"/>
          <w:lang w:eastAsia="ja-JP"/>
        </w:rPr>
        <w:t>b</w:t>
      </w:r>
      <w:r w:rsidRPr="00B60B17">
        <w:t>).</w:t>
      </w:r>
    </w:p>
    <w:p w:rsidR="00681C9F" w:rsidRPr="00B60B17" w:rsidRDefault="00681C9F" w:rsidP="00B60B17">
      <w:pPr>
        <w:pStyle w:val="ListParagraph"/>
        <w:numPr>
          <w:ilvl w:val="0"/>
          <w:numId w:val="12"/>
        </w:numPr>
        <w:spacing w:line="360" w:lineRule="auto"/>
        <w:ind w:left="709" w:hanging="425"/>
        <w:jc w:val="both"/>
      </w:pPr>
      <w:r w:rsidRPr="00B60B17">
        <w:t xml:space="preserve">Впервые применены </w:t>
      </w:r>
      <w:proofErr w:type="spellStart"/>
      <w:r w:rsidRPr="00B60B17">
        <w:t>квантильные</w:t>
      </w:r>
      <w:proofErr w:type="spellEnd"/>
      <w:r w:rsidRPr="00B60B17">
        <w:t xml:space="preserve"> регрессии для анализа панельных данных и эффективности</w:t>
      </w:r>
      <w:r w:rsidR="0084461A">
        <w:t>:</w:t>
      </w:r>
      <w:r w:rsidRPr="00B60B17">
        <w:t xml:space="preserve"> в банковской сфере (</w:t>
      </w:r>
      <w:r w:rsidRPr="00B60B17">
        <w:rPr>
          <w:rFonts w:eastAsiaTheme="minorEastAsia"/>
          <w:lang w:val="en-US" w:eastAsia="ja-JP"/>
        </w:rPr>
        <w:t>Besstremyannaya</w:t>
      </w:r>
      <w:r w:rsidRPr="00B60B17">
        <w:rPr>
          <w:rFonts w:eastAsiaTheme="minorEastAsia"/>
          <w:lang w:eastAsia="ja-JP"/>
        </w:rPr>
        <w:t>, 2017</w:t>
      </w:r>
      <w:r w:rsidR="00CE7F3E">
        <w:rPr>
          <w:rFonts w:eastAsiaTheme="minorEastAsia"/>
          <w:lang w:val="en-US" w:eastAsia="ja-JP"/>
        </w:rPr>
        <w:t>a</w:t>
      </w:r>
      <w:r w:rsidRPr="00B60B17">
        <w:t>) и в экономике здравоохранения (</w:t>
      </w:r>
      <w:r w:rsidRPr="00B60B17">
        <w:rPr>
          <w:rFonts w:eastAsiaTheme="minorEastAsia"/>
          <w:lang w:eastAsia="ja-JP"/>
        </w:rPr>
        <w:t>Besstremyannaya</w:t>
      </w:r>
      <w:r w:rsidR="0084461A">
        <w:rPr>
          <w:rFonts w:eastAsiaTheme="minorEastAsia"/>
          <w:lang w:eastAsia="ja-JP"/>
        </w:rPr>
        <w:t>,</w:t>
      </w:r>
      <w:r w:rsidRPr="00B60B17">
        <w:rPr>
          <w:rFonts w:eastAsiaTheme="minorEastAsia"/>
          <w:lang w:eastAsia="ja-JP"/>
        </w:rPr>
        <w:t xml:space="preserve"> 2014, 2015</w:t>
      </w:r>
      <w:r w:rsidRPr="00B60B17">
        <w:rPr>
          <w:rFonts w:eastAsiaTheme="minorEastAsia"/>
          <w:lang w:val="en-US" w:eastAsia="ja-JP"/>
        </w:rPr>
        <w:t>c</w:t>
      </w:r>
      <w:r w:rsidRPr="00B60B17">
        <w:t>)</w:t>
      </w:r>
    </w:p>
    <w:p w:rsidR="006B53D9" w:rsidRPr="00B60B17" w:rsidRDefault="006B53D9" w:rsidP="00B60B17">
      <w:pPr>
        <w:pStyle w:val="ListParagraph"/>
        <w:numPr>
          <w:ilvl w:val="0"/>
          <w:numId w:val="12"/>
        </w:numPr>
        <w:spacing w:line="360" w:lineRule="auto"/>
        <w:ind w:left="709" w:hanging="425"/>
        <w:jc w:val="both"/>
        <w:rPr>
          <w:rStyle w:val="medium-font"/>
        </w:rPr>
      </w:pPr>
      <w:r w:rsidRPr="00B60B17">
        <w:rPr>
          <w:rStyle w:val="medium-font"/>
        </w:rPr>
        <w:t xml:space="preserve">Впервые </w:t>
      </w:r>
      <w:r w:rsidR="0023491C">
        <w:rPr>
          <w:rStyle w:val="medium-font"/>
        </w:rPr>
        <w:t xml:space="preserve">использован </w:t>
      </w:r>
      <w:r w:rsidRPr="00B60B17">
        <w:rPr>
          <w:rStyle w:val="medium-font"/>
        </w:rPr>
        <w:t xml:space="preserve">метод </w:t>
      </w:r>
      <w:r w:rsidR="004F0D31" w:rsidRPr="00B60B17">
        <w:rPr>
          <w:rStyle w:val="medium-font"/>
        </w:rPr>
        <w:t>«</w:t>
      </w:r>
      <w:r w:rsidRPr="00B60B17">
        <w:rPr>
          <w:rStyle w:val="medium-font"/>
        </w:rPr>
        <w:t>разност</w:t>
      </w:r>
      <w:r w:rsidR="004F0D31" w:rsidRPr="00B60B17">
        <w:rPr>
          <w:rStyle w:val="medium-font"/>
        </w:rPr>
        <w:t>ь</w:t>
      </w:r>
      <w:r w:rsidRPr="00B60B17">
        <w:rPr>
          <w:rStyle w:val="medium-font"/>
        </w:rPr>
        <w:t xml:space="preserve"> разностей</w:t>
      </w:r>
      <w:r w:rsidR="004F0D31" w:rsidRPr="00B60B17">
        <w:rPr>
          <w:rStyle w:val="medium-font"/>
        </w:rPr>
        <w:t>»</w:t>
      </w:r>
      <w:r w:rsidRPr="00B60B17">
        <w:rPr>
          <w:rStyle w:val="medium-font"/>
        </w:rPr>
        <w:t xml:space="preserve"> для оценки эффекта реформы финансирования на параметрические и непараметрические оценки эффективности производителей в экономике здравоохранения (</w:t>
      </w:r>
      <w:r w:rsidRPr="00B60B17">
        <w:rPr>
          <w:rStyle w:val="medium-font"/>
          <w:lang w:val="en-US"/>
        </w:rPr>
        <w:t>Besstremyannaya</w:t>
      </w:r>
      <w:r w:rsidR="0084461A">
        <w:rPr>
          <w:rStyle w:val="medium-font"/>
        </w:rPr>
        <w:t>,</w:t>
      </w:r>
      <w:r w:rsidRPr="00B60B17">
        <w:rPr>
          <w:rStyle w:val="medium-font"/>
        </w:rPr>
        <w:t xml:space="preserve"> 2013).</w:t>
      </w:r>
    </w:p>
    <w:p w:rsidR="006E6792" w:rsidRPr="00B60B17" w:rsidRDefault="006E6792" w:rsidP="00B60B17">
      <w:pPr>
        <w:pStyle w:val="ListParagraph"/>
        <w:numPr>
          <w:ilvl w:val="0"/>
          <w:numId w:val="12"/>
        </w:numPr>
        <w:spacing w:line="360" w:lineRule="auto"/>
        <w:ind w:left="709" w:hanging="425"/>
        <w:jc w:val="both"/>
      </w:pPr>
      <w:r w:rsidRPr="00B60B17">
        <w:t xml:space="preserve">Впервые </w:t>
      </w:r>
      <w:r w:rsidR="0023491C">
        <w:t>адаптированы</w:t>
      </w:r>
      <w:r w:rsidR="001345D0" w:rsidRPr="00B60B17">
        <w:t xml:space="preserve"> </w:t>
      </w:r>
      <w:r w:rsidRPr="00B60B17">
        <w:t>модели с «ядерными регрессиями» и модели с инструментальными переменными для оценки эффективности региональных систем здравоохранения и деятельности страховых медицинских организаций (</w:t>
      </w:r>
      <w:r w:rsidRPr="00B60B17">
        <w:rPr>
          <w:lang w:val="en-US"/>
        </w:rPr>
        <w:t>Besstremyannaya</w:t>
      </w:r>
      <w:r w:rsidR="00C75D51" w:rsidRPr="00B60B17">
        <w:t xml:space="preserve"> 2015</w:t>
      </w:r>
      <w:r w:rsidR="00681C9F" w:rsidRPr="00B60B17">
        <w:rPr>
          <w:lang w:val="en-US"/>
        </w:rPr>
        <w:t>a</w:t>
      </w:r>
      <w:r w:rsidRPr="00B60B17">
        <w:t>).</w:t>
      </w:r>
    </w:p>
    <w:p w:rsidR="00AB139A" w:rsidRPr="00B60B17" w:rsidRDefault="00404AED" w:rsidP="00B60B17">
      <w:pPr>
        <w:pStyle w:val="ListParagraph"/>
        <w:numPr>
          <w:ilvl w:val="0"/>
          <w:numId w:val="12"/>
        </w:numPr>
        <w:spacing w:line="360" w:lineRule="auto"/>
        <w:ind w:left="709" w:hanging="425"/>
        <w:jc w:val="both"/>
        <w:rPr>
          <w:rStyle w:val="medium-font"/>
        </w:rPr>
      </w:pPr>
      <w:r w:rsidRPr="00B60B17">
        <w:t>Впервые использованы модели с д</w:t>
      </w:r>
      <w:r w:rsidR="00AB139A" w:rsidRPr="00B60B17">
        <w:t>инамически</w:t>
      </w:r>
      <w:r w:rsidRPr="00B60B17">
        <w:t>ми панелями для моделирования гетерогенного эффекта реформ на показатели качества производителей в экономике здравоохранения (</w:t>
      </w:r>
      <w:r w:rsidRPr="00B60B17">
        <w:rPr>
          <w:rFonts w:eastAsiaTheme="minorEastAsia"/>
          <w:lang w:val="en-US" w:eastAsia="ja-JP"/>
        </w:rPr>
        <w:t>Besstremyannaya</w:t>
      </w:r>
      <w:r w:rsidRPr="00B60B17">
        <w:rPr>
          <w:rFonts w:eastAsiaTheme="minorEastAsia"/>
          <w:lang w:eastAsia="ja-JP"/>
        </w:rPr>
        <w:t xml:space="preserve">, 2016; </w:t>
      </w:r>
      <w:r w:rsidRPr="00B60B17">
        <w:rPr>
          <w:rFonts w:eastAsiaTheme="minorEastAsia"/>
          <w:lang w:val="en-US" w:eastAsia="ja-JP"/>
        </w:rPr>
        <w:t>Besstremyannaya</w:t>
      </w:r>
      <w:r w:rsidRPr="00B60B17">
        <w:rPr>
          <w:rFonts w:eastAsiaTheme="minorEastAsia"/>
          <w:lang w:eastAsia="ja-JP"/>
        </w:rPr>
        <w:t xml:space="preserve"> </w:t>
      </w:r>
      <w:r w:rsidRPr="00B60B17">
        <w:rPr>
          <w:rFonts w:eastAsiaTheme="minorEastAsia"/>
          <w:lang w:val="en-US" w:eastAsia="ja-JP"/>
        </w:rPr>
        <w:t>and</w:t>
      </w:r>
      <w:r w:rsidRPr="00B60B17">
        <w:rPr>
          <w:rFonts w:eastAsiaTheme="minorEastAsia"/>
          <w:lang w:eastAsia="ja-JP"/>
        </w:rPr>
        <w:t xml:space="preserve"> </w:t>
      </w:r>
      <w:r w:rsidRPr="00B60B17">
        <w:rPr>
          <w:rFonts w:eastAsiaTheme="minorEastAsia"/>
          <w:lang w:val="en-US" w:eastAsia="ja-JP"/>
        </w:rPr>
        <w:t>Golovan</w:t>
      </w:r>
      <w:r w:rsidRPr="00B60B17">
        <w:rPr>
          <w:rFonts w:eastAsiaTheme="minorEastAsia"/>
          <w:lang w:eastAsia="ja-JP"/>
        </w:rPr>
        <w:t>, 2019</w:t>
      </w:r>
      <w:r w:rsidR="00681C9F" w:rsidRPr="00B60B17">
        <w:rPr>
          <w:rFonts w:eastAsiaTheme="minorEastAsia"/>
          <w:lang w:val="en-US" w:eastAsia="ja-JP"/>
        </w:rPr>
        <w:t>b</w:t>
      </w:r>
      <w:r w:rsidRPr="00B60B17">
        <w:t>).</w:t>
      </w:r>
    </w:p>
    <w:p w:rsidR="009F62CD" w:rsidRPr="00B60B17" w:rsidRDefault="009F62CD" w:rsidP="00B60B17">
      <w:pPr>
        <w:spacing w:line="360" w:lineRule="auto"/>
        <w:ind w:firstLine="708"/>
        <w:jc w:val="center"/>
        <w:rPr>
          <w:b/>
        </w:rPr>
      </w:pPr>
      <w:r w:rsidRPr="00B60B17">
        <w:rPr>
          <w:b/>
        </w:rPr>
        <w:lastRenderedPageBreak/>
        <w:t>Методология и методы исследования</w:t>
      </w:r>
    </w:p>
    <w:p w:rsidR="009F62CD" w:rsidRPr="00B60B17" w:rsidRDefault="009F62CD" w:rsidP="00B60B17">
      <w:pPr>
        <w:spacing w:line="360" w:lineRule="auto"/>
        <w:ind w:firstLine="709"/>
        <w:jc w:val="both"/>
      </w:pPr>
      <w:r w:rsidRPr="00B60B17">
        <w:rPr>
          <w:b/>
        </w:rPr>
        <w:t>Объектом исследования</w:t>
      </w:r>
      <w:r w:rsidRPr="00B60B17">
        <w:t xml:space="preserve"> являются </w:t>
      </w:r>
      <w:r w:rsidR="006B399F" w:rsidRPr="00B60B17">
        <w:t>производители</w:t>
      </w:r>
      <w:r w:rsidR="00DF5200" w:rsidRPr="00B60B17">
        <w:t xml:space="preserve">, </w:t>
      </w:r>
      <w:r w:rsidR="00A67995" w:rsidRPr="00B60B17">
        <w:t xml:space="preserve">потребители </w:t>
      </w:r>
      <w:r w:rsidR="002040A5" w:rsidRPr="00B60B17">
        <w:t>и государство как регулирующий орган</w:t>
      </w:r>
      <w:r w:rsidRPr="00B60B17">
        <w:t>.</w:t>
      </w:r>
    </w:p>
    <w:p w:rsidR="009F62CD" w:rsidRPr="00B60B17" w:rsidRDefault="009F62CD" w:rsidP="00B60B17">
      <w:pPr>
        <w:spacing w:line="360" w:lineRule="auto"/>
        <w:ind w:firstLine="709"/>
        <w:jc w:val="both"/>
      </w:pPr>
      <w:r w:rsidRPr="00B60B17">
        <w:rPr>
          <w:b/>
        </w:rPr>
        <w:t xml:space="preserve">Предметом исследования </w:t>
      </w:r>
      <w:r w:rsidR="00EC37A5" w:rsidRPr="00B60B17">
        <w:t>являются</w:t>
      </w:r>
      <w:r w:rsidR="00EC37A5" w:rsidRPr="00B60B17">
        <w:rPr>
          <w:b/>
        </w:rPr>
        <w:t xml:space="preserve"> </w:t>
      </w:r>
      <w:r w:rsidR="00EC37A5" w:rsidRPr="00B60B17">
        <w:t>ненаблюдаемая гетерогенность производителей и потребителей</w:t>
      </w:r>
      <w:r w:rsidR="002040A5" w:rsidRPr="00B60B17">
        <w:t>, и ее взаимосвязь с ценов</w:t>
      </w:r>
      <w:r w:rsidR="00F17933" w:rsidRPr="00B60B17">
        <w:t>ой</w:t>
      </w:r>
      <w:r w:rsidR="002040A5" w:rsidRPr="00B60B17">
        <w:t xml:space="preserve"> и производствен</w:t>
      </w:r>
      <w:r w:rsidR="00F17933" w:rsidRPr="00B60B17">
        <w:t xml:space="preserve">ной </w:t>
      </w:r>
      <w:r w:rsidR="002040A5" w:rsidRPr="00B60B17">
        <w:t>эффективность</w:t>
      </w:r>
      <w:r w:rsidR="0084461A">
        <w:t>ю</w:t>
      </w:r>
      <w:r w:rsidR="002040A5" w:rsidRPr="00B60B17">
        <w:t xml:space="preserve"> </w:t>
      </w:r>
      <w:r w:rsidR="0084461A">
        <w:t>предприятий</w:t>
      </w:r>
      <w:r w:rsidR="00F17933" w:rsidRPr="00B60B17">
        <w:t xml:space="preserve">, </w:t>
      </w:r>
      <w:r w:rsidR="002040A5" w:rsidRPr="00B60B17">
        <w:t>эластичность</w:t>
      </w:r>
      <w:r w:rsidR="00F17933" w:rsidRPr="00B60B17">
        <w:t>ю</w:t>
      </w:r>
      <w:r w:rsidR="002040A5" w:rsidRPr="00B60B17">
        <w:t xml:space="preserve"> потребительского спроса;</w:t>
      </w:r>
      <w:r w:rsidR="00F17933" w:rsidRPr="00B60B17">
        <w:t xml:space="preserve"> неоднородным откликом на экзогенные шоки или государственные реформы </w:t>
      </w:r>
      <w:r w:rsidR="002040A5" w:rsidRPr="00B60B17">
        <w:t xml:space="preserve">в области ценообразования и регулирования качества услуг </w:t>
      </w:r>
      <w:r w:rsidR="00F17933" w:rsidRPr="00B60B17">
        <w:t>(</w:t>
      </w:r>
      <w:r w:rsidR="0084461A">
        <w:t xml:space="preserve">например, введение </w:t>
      </w:r>
      <w:proofErr w:type="spellStart"/>
      <w:r w:rsidR="0084461A">
        <w:t>подушевого</w:t>
      </w:r>
      <w:proofErr w:type="spellEnd"/>
      <w:r w:rsidR="0084461A">
        <w:t xml:space="preserve"> финансирования или </w:t>
      </w:r>
      <w:r w:rsidR="002040A5" w:rsidRPr="00B60B17">
        <w:t>мотивационных контрактов</w:t>
      </w:r>
      <w:r w:rsidR="00F17933" w:rsidRPr="00B60B17">
        <w:t>)</w:t>
      </w:r>
      <w:r w:rsidRPr="00B60B17">
        <w:t>.</w:t>
      </w:r>
      <w:r w:rsidR="00F17933" w:rsidRPr="00B60B17">
        <w:t xml:space="preserve"> Причины гетерогенности</w:t>
      </w:r>
      <w:r w:rsidR="00134766" w:rsidRPr="00B60B17">
        <w:t xml:space="preserve"> </w:t>
      </w:r>
      <w:r w:rsidR="00F17933" w:rsidRPr="00B60B17">
        <w:t xml:space="preserve">– поведенческие особенности производителей и потребителей, </w:t>
      </w:r>
      <w:r w:rsidR="00134766" w:rsidRPr="00B60B17">
        <w:t xml:space="preserve">а также </w:t>
      </w:r>
      <w:r w:rsidR="00F17933" w:rsidRPr="00B60B17">
        <w:t>аспекты ир</w:t>
      </w:r>
      <w:r w:rsidR="0084461A">
        <w:t>р</w:t>
      </w:r>
      <w:r w:rsidR="00F17933" w:rsidRPr="00B60B17">
        <w:t>ационального поведения (альтруизм).</w:t>
      </w:r>
    </w:p>
    <w:p w:rsidR="00F66E2E" w:rsidRPr="00B60B17" w:rsidRDefault="009F62CD" w:rsidP="00B60B17">
      <w:pPr>
        <w:spacing w:line="360" w:lineRule="auto"/>
        <w:ind w:firstLine="708"/>
        <w:jc w:val="both"/>
      </w:pPr>
      <w:r w:rsidRPr="00B60B17">
        <w:rPr>
          <w:b/>
        </w:rPr>
        <w:t>Информационной основой</w:t>
      </w:r>
      <w:r w:rsidRPr="00B60B17">
        <w:t xml:space="preserve"> работы послужили</w:t>
      </w:r>
      <w:r w:rsidR="00F17933" w:rsidRPr="00B60B17">
        <w:t xml:space="preserve"> </w:t>
      </w:r>
      <w:r w:rsidR="00F17933" w:rsidRPr="00B60B17">
        <w:rPr>
          <w:rFonts w:eastAsiaTheme="minorEastAsia"/>
          <w:lang w:eastAsia="ja-JP"/>
        </w:rPr>
        <w:t xml:space="preserve">данные </w:t>
      </w:r>
      <w:r w:rsidR="00F17933" w:rsidRPr="00B60B17">
        <w:t>зарубежной и российский статистики на макро- и микроуровнях.</w:t>
      </w:r>
      <w:r w:rsidR="00F003E5" w:rsidRPr="00B60B17">
        <w:t xml:space="preserve"> В частности это </w:t>
      </w:r>
      <w:proofErr w:type="spellStart"/>
      <w:r w:rsidR="00F003E5" w:rsidRPr="00B60B17">
        <w:t>микроданные</w:t>
      </w:r>
      <w:proofErr w:type="spellEnd"/>
      <w:r w:rsidR="00F003E5" w:rsidRPr="00B60B17">
        <w:t xml:space="preserve"> финансово-экономической статистики японских банков и предприятий</w:t>
      </w:r>
      <w:r w:rsidR="00A73C0C" w:rsidRPr="00B60B17">
        <w:t xml:space="preserve"> (</w:t>
      </w:r>
      <w:proofErr w:type="spellStart"/>
      <w:r w:rsidR="00A73C0C" w:rsidRPr="00B60B17">
        <w:rPr>
          <w:lang w:val="en-US"/>
        </w:rPr>
        <w:t>Bankscope</w:t>
      </w:r>
      <w:proofErr w:type="spellEnd"/>
      <w:r w:rsidR="00A73C0C" w:rsidRPr="00B60B17">
        <w:t xml:space="preserve">, </w:t>
      </w:r>
      <w:r w:rsidR="00A73C0C" w:rsidRPr="00B60B17">
        <w:rPr>
          <w:lang w:val="en-US"/>
        </w:rPr>
        <w:t>Bank</w:t>
      </w:r>
      <w:r w:rsidR="00A73C0C" w:rsidRPr="00B60B17">
        <w:t xml:space="preserve"> </w:t>
      </w:r>
      <w:r w:rsidR="00A73C0C" w:rsidRPr="00B60B17">
        <w:rPr>
          <w:lang w:val="en-US"/>
        </w:rPr>
        <w:t>of</w:t>
      </w:r>
      <w:r w:rsidR="00A73C0C" w:rsidRPr="00B60B17">
        <w:t xml:space="preserve"> </w:t>
      </w:r>
      <w:r w:rsidR="00A73C0C" w:rsidRPr="00B60B17">
        <w:rPr>
          <w:lang w:val="en-US"/>
        </w:rPr>
        <w:t>Japan</w:t>
      </w:r>
      <w:r w:rsidR="00A73C0C" w:rsidRPr="00B60B17">
        <w:t xml:space="preserve">, </w:t>
      </w:r>
      <w:r w:rsidR="00A73C0C" w:rsidRPr="00B60B17">
        <w:rPr>
          <w:lang w:val="en-US"/>
        </w:rPr>
        <w:t>Yearbooks</w:t>
      </w:r>
      <w:r w:rsidR="00A73C0C" w:rsidRPr="00B60B17">
        <w:t xml:space="preserve"> </w:t>
      </w:r>
      <w:r w:rsidR="00A73C0C" w:rsidRPr="00B60B17">
        <w:rPr>
          <w:lang w:val="en-US"/>
        </w:rPr>
        <w:t>of</w:t>
      </w:r>
      <w:r w:rsidR="00A73C0C" w:rsidRPr="00B60B17">
        <w:t xml:space="preserve"> </w:t>
      </w:r>
      <w:r w:rsidR="00A73C0C" w:rsidRPr="00B60B17">
        <w:rPr>
          <w:lang w:val="en-US"/>
        </w:rPr>
        <w:t>Local</w:t>
      </w:r>
      <w:r w:rsidR="00A73C0C" w:rsidRPr="00B60B17">
        <w:t xml:space="preserve"> </w:t>
      </w:r>
      <w:r w:rsidR="00A73C0C" w:rsidRPr="00B60B17">
        <w:rPr>
          <w:lang w:val="en-US"/>
        </w:rPr>
        <w:t>Public</w:t>
      </w:r>
      <w:r w:rsidR="00A73C0C" w:rsidRPr="00B60B17">
        <w:t xml:space="preserve"> </w:t>
      </w:r>
      <w:r w:rsidR="00A73C0C" w:rsidRPr="00B60B17">
        <w:rPr>
          <w:lang w:val="en-US"/>
        </w:rPr>
        <w:t>Enterprises</w:t>
      </w:r>
      <w:r w:rsidR="00A73C0C" w:rsidRPr="00B60B17">
        <w:t>)</w:t>
      </w:r>
      <w:r w:rsidR="00F003E5" w:rsidRPr="00B60B17">
        <w:t>, американских стационаров</w:t>
      </w:r>
      <w:r w:rsidR="00A73C0C" w:rsidRPr="00B60B17">
        <w:t xml:space="preserve"> (данные </w:t>
      </w:r>
      <w:r w:rsidR="00A73C0C" w:rsidRPr="00B60B17">
        <w:rPr>
          <w:rFonts w:eastAsiaTheme="minorEastAsia"/>
          <w:lang w:val="en-US" w:eastAsia="ja-JP"/>
        </w:rPr>
        <w:t>Centers</w:t>
      </w:r>
      <w:r w:rsidR="00A73C0C" w:rsidRPr="00B60B17">
        <w:rPr>
          <w:rFonts w:eastAsiaTheme="minorEastAsia"/>
          <w:lang w:eastAsia="ja-JP"/>
        </w:rPr>
        <w:t xml:space="preserve"> </w:t>
      </w:r>
      <w:r w:rsidR="00A73C0C" w:rsidRPr="00B60B17">
        <w:rPr>
          <w:rFonts w:eastAsiaTheme="minorEastAsia"/>
          <w:lang w:val="en-US" w:eastAsia="ja-JP"/>
        </w:rPr>
        <w:t>for</w:t>
      </w:r>
      <w:r w:rsidR="00A73C0C" w:rsidRPr="00B60B17">
        <w:rPr>
          <w:rFonts w:eastAsiaTheme="minorEastAsia"/>
          <w:lang w:eastAsia="ja-JP"/>
        </w:rPr>
        <w:t xml:space="preserve"> </w:t>
      </w:r>
      <w:r w:rsidR="00A73C0C" w:rsidRPr="00B60B17">
        <w:rPr>
          <w:rFonts w:eastAsiaTheme="minorEastAsia"/>
          <w:lang w:val="en-US" w:eastAsia="ja-JP"/>
        </w:rPr>
        <w:t>Medicare</w:t>
      </w:r>
      <w:r w:rsidR="00A73C0C" w:rsidRPr="00B60B17">
        <w:rPr>
          <w:rFonts w:eastAsiaTheme="minorEastAsia"/>
          <w:lang w:eastAsia="ja-JP"/>
        </w:rPr>
        <w:t xml:space="preserve"> &amp; </w:t>
      </w:r>
      <w:r w:rsidR="00A73C0C" w:rsidRPr="00B60B17">
        <w:rPr>
          <w:rFonts w:eastAsiaTheme="minorEastAsia"/>
          <w:lang w:val="en-US" w:eastAsia="ja-JP"/>
        </w:rPr>
        <w:t>Medicaid</w:t>
      </w:r>
      <w:r w:rsidR="00A73C0C" w:rsidRPr="00B60B17">
        <w:t>)</w:t>
      </w:r>
      <w:r w:rsidR="00F003E5" w:rsidRPr="00B60B17">
        <w:t>, опросов японских индивидов и домохозяйств</w:t>
      </w:r>
      <w:r w:rsidR="00A73C0C" w:rsidRPr="00B60B17">
        <w:t xml:space="preserve"> (</w:t>
      </w:r>
      <w:r w:rsidR="00A73C0C" w:rsidRPr="00B60B17">
        <w:rPr>
          <w:rFonts w:eastAsiaTheme="minorEastAsia"/>
          <w:lang w:val="en-US" w:eastAsia="ja-JP"/>
        </w:rPr>
        <w:t>Japan</w:t>
      </w:r>
      <w:r w:rsidR="00A73C0C" w:rsidRPr="00B60B17">
        <w:rPr>
          <w:rFonts w:eastAsiaTheme="minorEastAsia"/>
          <w:lang w:eastAsia="ja-JP"/>
        </w:rPr>
        <w:t xml:space="preserve"> </w:t>
      </w:r>
      <w:r w:rsidR="00A73C0C" w:rsidRPr="00B60B17">
        <w:rPr>
          <w:rFonts w:eastAsiaTheme="minorEastAsia"/>
          <w:lang w:val="en-US" w:eastAsia="ja-JP"/>
        </w:rPr>
        <w:t>Panel</w:t>
      </w:r>
      <w:r w:rsidR="00A73C0C" w:rsidRPr="00B60B17">
        <w:rPr>
          <w:rFonts w:eastAsiaTheme="minorEastAsia"/>
          <w:lang w:eastAsia="ja-JP"/>
        </w:rPr>
        <w:t xml:space="preserve"> </w:t>
      </w:r>
      <w:r w:rsidR="00A73C0C" w:rsidRPr="00B60B17">
        <w:rPr>
          <w:rFonts w:eastAsiaTheme="minorEastAsia"/>
          <w:lang w:val="en-US" w:eastAsia="ja-JP"/>
        </w:rPr>
        <w:t>Survey</w:t>
      </w:r>
      <w:r w:rsidR="00A73C0C" w:rsidRPr="00B60B17">
        <w:rPr>
          <w:rFonts w:eastAsiaTheme="minorEastAsia"/>
          <w:lang w:eastAsia="ja-JP"/>
        </w:rPr>
        <w:t xml:space="preserve"> </w:t>
      </w:r>
      <w:r w:rsidR="00A73C0C" w:rsidRPr="00B60B17">
        <w:rPr>
          <w:rFonts w:eastAsiaTheme="minorEastAsia"/>
          <w:lang w:val="en-US" w:eastAsia="ja-JP"/>
        </w:rPr>
        <w:t>of</w:t>
      </w:r>
      <w:r w:rsidR="00A73C0C" w:rsidRPr="00B60B17">
        <w:rPr>
          <w:rFonts w:eastAsiaTheme="minorEastAsia"/>
          <w:lang w:eastAsia="ja-JP"/>
        </w:rPr>
        <w:t xml:space="preserve"> </w:t>
      </w:r>
      <w:r w:rsidR="00A73C0C" w:rsidRPr="00B60B17">
        <w:rPr>
          <w:rFonts w:eastAsiaTheme="minorEastAsia"/>
          <w:lang w:val="en-US" w:eastAsia="ja-JP"/>
        </w:rPr>
        <w:t>Consumers</w:t>
      </w:r>
      <w:r w:rsidR="00A73C0C" w:rsidRPr="00B60B17">
        <w:rPr>
          <w:rFonts w:eastAsiaTheme="minorEastAsia"/>
          <w:lang w:eastAsia="ja-JP"/>
        </w:rPr>
        <w:t xml:space="preserve">, </w:t>
      </w:r>
      <w:r w:rsidR="00A73C0C" w:rsidRPr="00B60B17">
        <w:rPr>
          <w:rFonts w:eastAsiaTheme="minorEastAsia"/>
          <w:lang w:val="en-US" w:eastAsia="ja-JP"/>
        </w:rPr>
        <w:t>Keio</w:t>
      </w:r>
      <w:r w:rsidR="00A73C0C" w:rsidRPr="00B60B17">
        <w:rPr>
          <w:rFonts w:eastAsiaTheme="minorEastAsia"/>
          <w:lang w:eastAsia="ja-JP"/>
        </w:rPr>
        <w:t xml:space="preserve"> </w:t>
      </w:r>
      <w:r w:rsidR="00A73C0C" w:rsidRPr="00B60B17">
        <w:rPr>
          <w:rFonts w:eastAsiaTheme="minorEastAsia"/>
          <w:lang w:val="en-US" w:eastAsia="ja-JP"/>
        </w:rPr>
        <w:t>Household</w:t>
      </w:r>
      <w:r w:rsidR="00A73C0C" w:rsidRPr="00B60B17">
        <w:rPr>
          <w:rFonts w:eastAsiaTheme="minorEastAsia"/>
          <w:lang w:eastAsia="ja-JP"/>
        </w:rPr>
        <w:t xml:space="preserve"> </w:t>
      </w:r>
      <w:r w:rsidR="00A73C0C" w:rsidRPr="00B60B17">
        <w:rPr>
          <w:rFonts w:eastAsiaTheme="minorEastAsia"/>
          <w:lang w:val="en-US" w:eastAsia="ja-JP"/>
        </w:rPr>
        <w:t>Panel</w:t>
      </w:r>
      <w:r w:rsidR="00A73C0C" w:rsidRPr="00B60B17">
        <w:rPr>
          <w:rFonts w:eastAsiaTheme="minorEastAsia"/>
          <w:lang w:eastAsia="ja-JP"/>
        </w:rPr>
        <w:t xml:space="preserve"> </w:t>
      </w:r>
      <w:r w:rsidR="00A73C0C" w:rsidRPr="00B60B17">
        <w:rPr>
          <w:rFonts w:eastAsiaTheme="minorEastAsia"/>
          <w:lang w:val="en-US" w:eastAsia="ja-JP"/>
        </w:rPr>
        <w:t>Survey</w:t>
      </w:r>
      <w:r w:rsidR="00A73C0C" w:rsidRPr="00B60B17">
        <w:t>)</w:t>
      </w:r>
      <w:r w:rsidR="00F003E5" w:rsidRPr="00B60B17">
        <w:t>;</w:t>
      </w:r>
      <w:r w:rsidR="00A73C0C" w:rsidRPr="00B60B17">
        <w:t xml:space="preserve"> микро данные обследований российских потребителей, таких как «Национальное обследование бюджетов домашних хозяйств и участия в социальных программах» (НОБУС) и «Российский мониторинг экономического положения и здоровья населения» (РМЭЗ), </w:t>
      </w:r>
      <w:r w:rsidR="00F003E5" w:rsidRPr="00B60B17">
        <w:t xml:space="preserve"> </w:t>
      </w:r>
      <w:r w:rsidRPr="00B60B17">
        <w:t xml:space="preserve">макро данные международных организаций (Организация экономического сотрудничества и развития, Европейское отделение Всемирной организации здравоохранения), </w:t>
      </w:r>
      <w:r w:rsidR="00A73C0C" w:rsidRPr="00B60B17">
        <w:t xml:space="preserve">макро и региональных данные </w:t>
      </w:r>
      <w:r w:rsidR="00F003E5" w:rsidRPr="00B60B17">
        <w:t>статистических агентств</w:t>
      </w:r>
      <w:r w:rsidR="0084461A">
        <w:t xml:space="preserve"> и ведомств каждой из стран и </w:t>
      </w:r>
      <w:r w:rsidRPr="00B60B17">
        <w:t>нормативно-законодательные документы</w:t>
      </w:r>
      <w:r w:rsidR="0084461A">
        <w:t xml:space="preserve">. Среди российских данных можно отметить </w:t>
      </w:r>
      <w:r w:rsidR="00F17933" w:rsidRPr="00B60B17">
        <w:t>материалы Федеральной службы государственной статистики (Росстат), региональн</w:t>
      </w:r>
      <w:r w:rsidR="0084461A">
        <w:t>ую</w:t>
      </w:r>
      <w:r w:rsidR="00F17933" w:rsidRPr="00B60B17">
        <w:t xml:space="preserve"> отраслев</w:t>
      </w:r>
      <w:r w:rsidR="0084461A">
        <w:t>ую</w:t>
      </w:r>
      <w:r w:rsidR="00F17933" w:rsidRPr="00B60B17">
        <w:t xml:space="preserve"> статистик</w:t>
      </w:r>
      <w:r w:rsidR="0084461A">
        <w:t>у</w:t>
      </w:r>
      <w:r w:rsidR="00F17933" w:rsidRPr="00B60B17">
        <w:t xml:space="preserve"> (Федеральное казначейство, Министерство здравоохранения и социального развития РФ, Федеральный фонд обязательного медицинского страхования, Федеральны</w:t>
      </w:r>
      <w:r w:rsidR="008D1C74" w:rsidRPr="00B60B17">
        <w:t>й фонд социального страхования)</w:t>
      </w:r>
      <w:r w:rsidR="0084461A">
        <w:t>, статистику портала «Страхование в России»</w:t>
      </w:r>
      <w:r w:rsidR="008D1C74" w:rsidRPr="00B60B17">
        <w:t>.</w:t>
      </w:r>
      <w:r w:rsidRPr="00B60B17">
        <w:tab/>
      </w:r>
      <w:r w:rsidR="008A61DA" w:rsidRPr="00B60B17">
        <w:t xml:space="preserve"> </w:t>
      </w:r>
    </w:p>
    <w:p w:rsidR="009F62CD" w:rsidRPr="00B60B17" w:rsidRDefault="009F62CD" w:rsidP="00B60B17">
      <w:pPr>
        <w:spacing w:line="360" w:lineRule="auto"/>
        <w:jc w:val="center"/>
        <w:rPr>
          <w:b/>
        </w:rPr>
      </w:pPr>
      <w:r w:rsidRPr="00B60B17">
        <w:rPr>
          <w:b/>
        </w:rPr>
        <w:t>Положения, выносимые на защиту</w:t>
      </w:r>
    </w:p>
    <w:p w:rsidR="00F17933" w:rsidRPr="00B60B17" w:rsidRDefault="00DC2507" w:rsidP="0084461A">
      <w:pPr>
        <w:spacing w:line="360" w:lineRule="auto"/>
        <w:jc w:val="both"/>
        <w:rPr>
          <w:b/>
        </w:rPr>
      </w:pPr>
      <w:r w:rsidRPr="00B60B17">
        <w:rPr>
          <w:b/>
        </w:rPr>
        <w:t xml:space="preserve">         </w:t>
      </w:r>
      <w:r w:rsidR="00F17933" w:rsidRPr="00B60B17">
        <w:rPr>
          <w:b/>
        </w:rPr>
        <w:t>Модели с латентными классами</w:t>
      </w:r>
      <w:r w:rsidR="0084461A">
        <w:rPr>
          <w:b/>
        </w:rPr>
        <w:t xml:space="preserve"> (расщепление конечного числа смеси распределений)</w:t>
      </w:r>
      <w:r w:rsidR="00F17933" w:rsidRPr="00B60B17">
        <w:rPr>
          <w:b/>
        </w:rPr>
        <w:tab/>
      </w:r>
    </w:p>
    <w:p w:rsidR="00713DB5" w:rsidRPr="00B60B17" w:rsidRDefault="00713DB5" w:rsidP="00B60B17">
      <w:pPr>
        <w:tabs>
          <w:tab w:val="left" w:pos="851"/>
        </w:tabs>
        <w:spacing w:line="360" w:lineRule="auto"/>
        <w:ind w:firstLine="539"/>
        <w:jc w:val="both"/>
      </w:pPr>
      <w:r w:rsidRPr="00B60B17">
        <w:t>1</w:t>
      </w:r>
      <w:r w:rsidR="00515832" w:rsidRPr="00B60B17">
        <w:t>.</w:t>
      </w:r>
      <w:r w:rsidRPr="00B60B17">
        <w:t>Параметрические модели с латентными классами являются применимыми для моделирования ненаблюдаемой гетерогенности производителей; в частности, когда гетерогенность предполагается взаимосвязанной с качеством управления</w:t>
      </w:r>
      <w:r w:rsidR="00AE759B" w:rsidRPr="00B60B17">
        <w:t xml:space="preserve"> процессом </w:t>
      </w:r>
      <w:proofErr w:type="gramStart"/>
      <w:r w:rsidR="00AE759B" w:rsidRPr="00B60B17">
        <w:t>производства</w:t>
      </w:r>
      <w:r w:rsidR="0034301E" w:rsidRPr="00B60B17">
        <w:rPr>
          <w:lang w:eastAsia="ja-JP"/>
        </w:rPr>
        <w:t xml:space="preserve"> </w:t>
      </w:r>
      <w:r w:rsidR="00352236" w:rsidRPr="00B60B17">
        <w:t xml:space="preserve"> </w:t>
      </w:r>
      <w:r w:rsidR="00352236" w:rsidRPr="00B60B17">
        <w:rPr>
          <w:lang w:eastAsia="ja-JP"/>
        </w:rPr>
        <w:t>(</w:t>
      </w:r>
      <w:proofErr w:type="gramEnd"/>
      <w:r w:rsidR="00352236" w:rsidRPr="00B60B17">
        <w:rPr>
          <w:lang w:val="en-US" w:eastAsia="ja-JP"/>
        </w:rPr>
        <w:t>Besstremyannaya</w:t>
      </w:r>
      <w:r w:rsidR="0084461A">
        <w:rPr>
          <w:lang w:eastAsia="ja-JP"/>
        </w:rPr>
        <w:t>,</w:t>
      </w:r>
      <w:r w:rsidR="00352236" w:rsidRPr="00B60B17">
        <w:rPr>
          <w:lang w:eastAsia="ja-JP"/>
        </w:rPr>
        <w:t xml:space="preserve"> 2011).</w:t>
      </w:r>
    </w:p>
    <w:p w:rsidR="00F17933" w:rsidRPr="00B60B17" w:rsidRDefault="00F17933" w:rsidP="00B60B17">
      <w:pPr>
        <w:spacing w:line="360" w:lineRule="auto"/>
        <w:ind w:firstLine="539"/>
        <w:jc w:val="both"/>
      </w:pPr>
      <w:r w:rsidRPr="00B60B17">
        <w:lastRenderedPageBreak/>
        <w:t>2</w:t>
      </w:r>
      <w:r w:rsidR="00D60043" w:rsidRPr="00B60B17">
        <w:t>. О</w:t>
      </w:r>
      <w:r w:rsidR="00D60043" w:rsidRPr="00B60B17">
        <w:rPr>
          <w:lang w:eastAsia="ja-JP"/>
        </w:rPr>
        <w:t>бобщенные линейны</w:t>
      </w:r>
      <w:r w:rsidR="005343D3" w:rsidRPr="00B60B17">
        <w:rPr>
          <w:lang w:eastAsia="ja-JP"/>
        </w:rPr>
        <w:t>е</w:t>
      </w:r>
      <w:r w:rsidR="00D60043" w:rsidRPr="00B60B17">
        <w:rPr>
          <w:lang w:eastAsia="ja-JP"/>
        </w:rPr>
        <w:t xml:space="preserve"> модели с латентными классами</w:t>
      </w:r>
      <w:r w:rsidR="00D60043" w:rsidRPr="00B60B17">
        <w:t xml:space="preserve"> применимы для моделирования потребительского спроса</w:t>
      </w:r>
      <w:r w:rsidR="00134766" w:rsidRPr="00B60B17">
        <w:t xml:space="preserve"> на медицинские товары и лекарства</w:t>
      </w:r>
      <w:r w:rsidR="00C64794">
        <w:t xml:space="preserve">. Эти модели </w:t>
      </w:r>
      <w:r w:rsidR="00D60043" w:rsidRPr="00B60B17">
        <w:t xml:space="preserve">демонстрируют </w:t>
      </w:r>
      <w:proofErr w:type="gramStart"/>
      <w:r w:rsidRPr="00B60B17">
        <w:t xml:space="preserve">лучшее </w:t>
      </w:r>
      <w:r w:rsidR="00D60043" w:rsidRPr="00B60B17">
        <w:t xml:space="preserve"> </w:t>
      </w:r>
      <w:r w:rsidR="00D60043" w:rsidRPr="00B60B17">
        <w:rPr>
          <w:lang w:eastAsia="ja-JP"/>
        </w:rPr>
        <w:t>качество</w:t>
      </w:r>
      <w:proofErr w:type="gramEnd"/>
      <w:r w:rsidR="00D60043" w:rsidRPr="00B60B17">
        <w:rPr>
          <w:lang w:eastAsia="ja-JP"/>
        </w:rPr>
        <w:t xml:space="preserve"> подгонки по сравнению с линейными моделями; при этом  оценки эффекта воздействия в линейных и обобщенных линейных моделях</w:t>
      </w:r>
      <w:r w:rsidR="00D60043" w:rsidRPr="00B60B17">
        <w:t xml:space="preserve"> с латентными классами могут различаться (</w:t>
      </w:r>
      <w:r w:rsidR="00D60043" w:rsidRPr="00B60B17">
        <w:rPr>
          <w:lang w:val="en-US"/>
        </w:rPr>
        <w:t>Besstremyannaya</w:t>
      </w:r>
      <w:r w:rsidR="00C64794">
        <w:t>,</w:t>
      </w:r>
      <w:r w:rsidR="00D60043" w:rsidRPr="00B60B17">
        <w:t xml:space="preserve"> 201</w:t>
      </w:r>
      <w:r w:rsidRPr="00B60B17">
        <w:t>5</w:t>
      </w:r>
      <w:r w:rsidR="00CE7F3E">
        <w:rPr>
          <w:lang w:val="en-US"/>
        </w:rPr>
        <w:t>b</w:t>
      </w:r>
      <w:r w:rsidRPr="00B60B17">
        <w:t>, 2017</w:t>
      </w:r>
      <w:r w:rsidR="00CE7F3E">
        <w:rPr>
          <w:lang w:val="en-US"/>
        </w:rPr>
        <w:t>b</w:t>
      </w:r>
      <w:r w:rsidR="00D60043" w:rsidRPr="00B60B17">
        <w:t>).</w:t>
      </w:r>
    </w:p>
    <w:p w:rsidR="00AB139A" w:rsidRPr="00B60B17" w:rsidRDefault="00DC2507" w:rsidP="00B60B17">
      <w:pPr>
        <w:spacing w:line="360" w:lineRule="auto"/>
        <w:ind w:firstLine="539"/>
        <w:jc w:val="both"/>
        <w:rPr>
          <w:b/>
        </w:rPr>
      </w:pPr>
      <w:proofErr w:type="spellStart"/>
      <w:r w:rsidRPr="00B60B17">
        <w:rPr>
          <w:b/>
        </w:rPr>
        <w:t>Квантильные</w:t>
      </w:r>
      <w:proofErr w:type="spellEnd"/>
      <w:r w:rsidRPr="00B60B17">
        <w:rPr>
          <w:b/>
        </w:rPr>
        <w:t xml:space="preserve"> регрессии</w:t>
      </w:r>
    </w:p>
    <w:p w:rsidR="00AB139A" w:rsidRPr="00B60B17" w:rsidRDefault="00DC2507" w:rsidP="00B60B17">
      <w:pPr>
        <w:spacing w:line="360" w:lineRule="auto"/>
        <w:ind w:firstLine="539"/>
        <w:jc w:val="both"/>
        <w:rPr>
          <w:rFonts w:eastAsiaTheme="minorEastAsia"/>
          <w:lang w:eastAsia="ja-JP"/>
        </w:rPr>
      </w:pPr>
      <w:r w:rsidRPr="00B60B17">
        <w:t xml:space="preserve">3. </w:t>
      </w:r>
      <w:proofErr w:type="spellStart"/>
      <w:r w:rsidRPr="00B60B17">
        <w:t>Квантильные</w:t>
      </w:r>
      <w:proofErr w:type="spellEnd"/>
      <w:r w:rsidRPr="00B60B17">
        <w:t xml:space="preserve"> регрессии позволяют оценивать разные технологии производителей в банковской сфере и экономике здравоохранения. В частности, это касается различных коэффициентов для эластичностей выпуска по факторам производства, значений экономии масштаба</w:t>
      </w:r>
      <w:r w:rsidR="00C64794">
        <w:t xml:space="preserve"> (</w:t>
      </w:r>
      <w:r w:rsidR="00C64794">
        <w:rPr>
          <w:rFonts w:eastAsiaTheme="minorEastAsia"/>
          <w:lang w:val="en-US" w:eastAsia="ja-JP"/>
        </w:rPr>
        <w:t>economy</w:t>
      </w:r>
      <w:r w:rsidR="00C64794" w:rsidRPr="00C64794">
        <w:rPr>
          <w:rFonts w:eastAsiaTheme="minorEastAsia"/>
          <w:lang w:eastAsia="ja-JP"/>
        </w:rPr>
        <w:t xml:space="preserve"> </w:t>
      </w:r>
      <w:r w:rsidR="00C64794">
        <w:rPr>
          <w:rFonts w:eastAsiaTheme="minorEastAsia"/>
          <w:lang w:val="en-US" w:eastAsia="ja-JP"/>
        </w:rPr>
        <w:t>of</w:t>
      </w:r>
      <w:r w:rsidR="00C64794" w:rsidRPr="00C64794">
        <w:rPr>
          <w:rFonts w:eastAsiaTheme="minorEastAsia"/>
          <w:lang w:eastAsia="ja-JP"/>
        </w:rPr>
        <w:t xml:space="preserve"> </w:t>
      </w:r>
      <w:r w:rsidR="00C64794">
        <w:rPr>
          <w:rFonts w:eastAsiaTheme="minorEastAsia"/>
          <w:lang w:val="en-US" w:eastAsia="ja-JP"/>
        </w:rPr>
        <w:t>scale</w:t>
      </w:r>
      <w:r w:rsidR="00C64794" w:rsidRPr="00C64794">
        <w:rPr>
          <w:rFonts w:eastAsiaTheme="minorEastAsia"/>
          <w:lang w:eastAsia="ja-JP"/>
        </w:rPr>
        <w:t xml:space="preserve"> </w:t>
      </w:r>
      <w:r w:rsidR="00C64794">
        <w:rPr>
          <w:rFonts w:eastAsiaTheme="minorEastAsia"/>
          <w:lang w:val="en-US" w:eastAsia="ja-JP"/>
        </w:rPr>
        <w:t>and</w:t>
      </w:r>
      <w:r w:rsidR="00C64794" w:rsidRPr="00C64794">
        <w:rPr>
          <w:rFonts w:eastAsiaTheme="minorEastAsia"/>
          <w:lang w:eastAsia="ja-JP"/>
        </w:rPr>
        <w:t xml:space="preserve"> </w:t>
      </w:r>
      <w:r w:rsidR="00C64794">
        <w:rPr>
          <w:rFonts w:eastAsiaTheme="minorEastAsia"/>
          <w:lang w:val="en-US" w:eastAsia="ja-JP"/>
        </w:rPr>
        <w:t>economy</w:t>
      </w:r>
      <w:r w:rsidR="00C64794" w:rsidRPr="00C64794">
        <w:rPr>
          <w:rFonts w:eastAsiaTheme="minorEastAsia"/>
          <w:lang w:eastAsia="ja-JP"/>
        </w:rPr>
        <w:t xml:space="preserve"> </w:t>
      </w:r>
      <w:r w:rsidR="00C64794">
        <w:rPr>
          <w:rFonts w:eastAsiaTheme="minorEastAsia"/>
          <w:lang w:val="en-US" w:eastAsia="ja-JP"/>
        </w:rPr>
        <w:t>of</w:t>
      </w:r>
      <w:r w:rsidR="00C64794" w:rsidRPr="00C64794">
        <w:rPr>
          <w:rFonts w:eastAsiaTheme="minorEastAsia"/>
          <w:lang w:eastAsia="ja-JP"/>
        </w:rPr>
        <w:t xml:space="preserve"> </w:t>
      </w:r>
      <w:r w:rsidR="00C64794">
        <w:rPr>
          <w:rFonts w:eastAsiaTheme="minorEastAsia"/>
          <w:lang w:val="en-US" w:eastAsia="ja-JP"/>
        </w:rPr>
        <w:t>scope</w:t>
      </w:r>
      <w:r w:rsidR="00C64794">
        <w:t>)</w:t>
      </w:r>
      <w:r w:rsidRPr="00B60B17">
        <w:t xml:space="preserve">, а также эффекта эндогенных и экзогенных шоков </w:t>
      </w:r>
      <w:r w:rsidRPr="00B60B17">
        <w:rPr>
          <w:rFonts w:eastAsiaTheme="minorEastAsia"/>
          <w:lang w:eastAsia="ja-JP"/>
        </w:rPr>
        <w:t>(</w:t>
      </w:r>
      <w:r w:rsidRPr="00B60B17">
        <w:rPr>
          <w:rFonts w:eastAsiaTheme="minorEastAsia"/>
          <w:lang w:val="en-US" w:eastAsia="ja-JP"/>
        </w:rPr>
        <w:t>Besstremyannaya</w:t>
      </w:r>
      <w:r w:rsidR="00C64794" w:rsidRPr="00C64794">
        <w:rPr>
          <w:rFonts w:eastAsiaTheme="minorEastAsia"/>
          <w:lang w:eastAsia="ja-JP"/>
        </w:rPr>
        <w:t>?</w:t>
      </w:r>
      <w:r w:rsidRPr="00B60B17">
        <w:rPr>
          <w:rFonts w:eastAsiaTheme="minorEastAsia"/>
          <w:lang w:eastAsia="ja-JP"/>
        </w:rPr>
        <w:t xml:space="preserve"> 2014, 2015</w:t>
      </w:r>
      <w:r w:rsidR="00CE7F3E">
        <w:rPr>
          <w:rFonts w:eastAsiaTheme="minorEastAsia"/>
          <w:lang w:val="en-US" w:eastAsia="ja-JP"/>
        </w:rPr>
        <w:t>c</w:t>
      </w:r>
      <w:r w:rsidRPr="00B60B17">
        <w:rPr>
          <w:rFonts w:eastAsiaTheme="minorEastAsia"/>
          <w:lang w:eastAsia="ja-JP"/>
        </w:rPr>
        <w:t>, 2017</w:t>
      </w:r>
      <w:r w:rsidR="00CE7F3E">
        <w:rPr>
          <w:rFonts w:eastAsiaTheme="minorEastAsia"/>
          <w:lang w:val="en-US" w:eastAsia="ja-JP"/>
        </w:rPr>
        <w:t>a</w:t>
      </w:r>
      <w:r w:rsidRPr="00B60B17">
        <w:rPr>
          <w:rFonts w:eastAsiaTheme="minorEastAsia"/>
          <w:lang w:eastAsia="ja-JP"/>
        </w:rPr>
        <w:t xml:space="preserve">, Besstremyannaya </w:t>
      </w:r>
      <w:proofErr w:type="spellStart"/>
      <w:r w:rsidRPr="00B60B17">
        <w:rPr>
          <w:rFonts w:eastAsiaTheme="minorEastAsia"/>
          <w:lang w:eastAsia="ja-JP"/>
        </w:rPr>
        <w:t>and</w:t>
      </w:r>
      <w:proofErr w:type="spellEnd"/>
      <w:r w:rsidRPr="00B60B17">
        <w:rPr>
          <w:rFonts w:eastAsiaTheme="minorEastAsia"/>
          <w:lang w:eastAsia="ja-JP"/>
        </w:rPr>
        <w:t xml:space="preserve"> </w:t>
      </w:r>
      <w:proofErr w:type="spellStart"/>
      <w:r w:rsidRPr="00B60B17">
        <w:rPr>
          <w:rFonts w:eastAsiaTheme="minorEastAsia"/>
          <w:lang w:eastAsia="ja-JP"/>
        </w:rPr>
        <w:t>Golovan</w:t>
      </w:r>
      <w:proofErr w:type="spellEnd"/>
      <w:r w:rsidRPr="00B60B17">
        <w:rPr>
          <w:rFonts w:eastAsiaTheme="minorEastAsia"/>
          <w:lang w:eastAsia="ja-JP"/>
        </w:rPr>
        <w:t xml:space="preserve"> 2019</w:t>
      </w:r>
      <w:r w:rsidR="00CE7F3E">
        <w:rPr>
          <w:rFonts w:eastAsiaTheme="minorEastAsia"/>
          <w:lang w:val="en-US" w:eastAsia="ja-JP"/>
        </w:rPr>
        <w:t>a</w:t>
      </w:r>
      <w:r w:rsidRPr="00B60B17">
        <w:rPr>
          <w:rFonts w:eastAsiaTheme="minorEastAsia"/>
          <w:lang w:eastAsia="ja-JP"/>
        </w:rPr>
        <w:t>, 2021).</w:t>
      </w:r>
    </w:p>
    <w:p w:rsidR="00F17933" w:rsidRPr="00B60B17" w:rsidRDefault="00F17933" w:rsidP="00B60B17">
      <w:pPr>
        <w:spacing w:line="360" w:lineRule="auto"/>
        <w:ind w:firstLine="539"/>
        <w:jc w:val="both"/>
        <w:rPr>
          <w:b/>
        </w:rPr>
      </w:pPr>
      <w:r w:rsidRPr="00B60B17">
        <w:rPr>
          <w:b/>
        </w:rPr>
        <w:t>Оценивание эффективности</w:t>
      </w:r>
      <w:r w:rsidR="00B76913" w:rsidRPr="00B60B17">
        <w:rPr>
          <w:b/>
        </w:rPr>
        <w:t xml:space="preserve"> и эффекта воздействия</w:t>
      </w:r>
      <w:r w:rsidRPr="00B60B17">
        <w:rPr>
          <w:b/>
        </w:rPr>
        <w:t xml:space="preserve"> </w:t>
      </w:r>
      <w:r w:rsidR="00B76913" w:rsidRPr="00B60B17">
        <w:rPr>
          <w:b/>
        </w:rPr>
        <w:t xml:space="preserve">на основе </w:t>
      </w:r>
      <w:proofErr w:type="spellStart"/>
      <w:r w:rsidRPr="00B60B17">
        <w:rPr>
          <w:b/>
        </w:rPr>
        <w:t>многопродуктов</w:t>
      </w:r>
      <w:r w:rsidR="00B76913" w:rsidRPr="00B60B17">
        <w:rPr>
          <w:b/>
        </w:rPr>
        <w:t>ой</w:t>
      </w:r>
      <w:proofErr w:type="spellEnd"/>
      <w:r w:rsidR="00B76913" w:rsidRPr="00B60B17">
        <w:rPr>
          <w:b/>
        </w:rPr>
        <w:t xml:space="preserve"> производственной</w:t>
      </w:r>
      <w:r w:rsidRPr="00B60B17">
        <w:rPr>
          <w:b/>
        </w:rPr>
        <w:t xml:space="preserve"> функци</w:t>
      </w:r>
      <w:r w:rsidR="00B76913" w:rsidRPr="00B60B17">
        <w:rPr>
          <w:b/>
        </w:rPr>
        <w:t>и</w:t>
      </w:r>
    </w:p>
    <w:p w:rsidR="00134766" w:rsidRPr="00B60B17" w:rsidRDefault="00DC2507" w:rsidP="00B60B17">
      <w:pPr>
        <w:spacing w:line="360" w:lineRule="auto"/>
        <w:ind w:firstLine="539"/>
        <w:jc w:val="both"/>
        <w:rPr>
          <w:rStyle w:val="medium-font"/>
        </w:rPr>
      </w:pPr>
      <w:r w:rsidRPr="00B60B17">
        <w:rPr>
          <w:rFonts w:eastAsia="MS Mincho"/>
          <w:lang w:eastAsia="zh-TW" w:bidi="he-IL"/>
        </w:rPr>
        <w:t>4</w:t>
      </w:r>
      <w:r w:rsidR="00F17933" w:rsidRPr="00B60B17">
        <w:rPr>
          <w:rFonts w:eastAsia="MS Mincho"/>
          <w:lang w:eastAsia="zh-TW" w:bidi="he-IL"/>
        </w:rPr>
        <w:t>. П</w:t>
      </w:r>
      <w:r w:rsidR="00F17933" w:rsidRPr="00B60B17">
        <w:rPr>
          <w:lang w:eastAsia="ja-JP"/>
        </w:rPr>
        <w:t xml:space="preserve">араметрические и непараметрические модели анализа границы для </w:t>
      </w:r>
      <w:proofErr w:type="spellStart"/>
      <w:r w:rsidR="00F17933" w:rsidRPr="00B60B17">
        <w:rPr>
          <w:rStyle w:val="medium-font"/>
        </w:rPr>
        <w:t>многопродуктовых</w:t>
      </w:r>
      <w:proofErr w:type="spellEnd"/>
      <w:r w:rsidR="00F17933" w:rsidRPr="00B60B17">
        <w:rPr>
          <w:rStyle w:val="medium-font"/>
        </w:rPr>
        <w:t xml:space="preserve"> производственных функций с различными </w:t>
      </w:r>
      <w:r w:rsidR="0023491C" w:rsidRPr="00B60B17">
        <w:rPr>
          <w:rStyle w:val="medium-font"/>
        </w:rPr>
        <w:t>видами выпуска</w:t>
      </w:r>
      <w:r w:rsidR="00F17933" w:rsidRPr="00B60B17">
        <w:rPr>
          <w:rStyle w:val="medium-font"/>
        </w:rPr>
        <w:t xml:space="preserve"> и факторов производства </w:t>
      </w:r>
      <w:r w:rsidR="00F17933" w:rsidRPr="00B60B17">
        <w:rPr>
          <w:lang w:eastAsia="ja-JP"/>
        </w:rPr>
        <w:t>позволяют получить робастные оценки динамики производственной эффективности производителей. Однако оценки условного и безусловного эффекта воздействия реформы на значения эффективности могут различаться в зависимости от метода параметрического или непараметрического оценивания</w:t>
      </w:r>
      <w:r w:rsidR="00C64794" w:rsidRPr="00C64794">
        <w:rPr>
          <w:lang w:eastAsia="ja-JP"/>
        </w:rPr>
        <w:t xml:space="preserve"> (</w:t>
      </w:r>
      <w:proofErr w:type="spellStart"/>
      <w:r w:rsidR="00C64794">
        <w:rPr>
          <w:lang w:eastAsia="ja-JP"/>
        </w:rPr>
        <w:t>Бесстремянная</w:t>
      </w:r>
      <w:proofErr w:type="spellEnd"/>
      <w:r w:rsidR="00C64794">
        <w:rPr>
          <w:lang w:eastAsia="ja-JP"/>
        </w:rPr>
        <w:t xml:space="preserve">, 2019а, </w:t>
      </w:r>
      <w:r w:rsidR="00C64794">
        <w:rPr>
          <w:rFonts w:eastAsiaTheme="minorEastAsia"/>
          <w:lang w:val="en-US" w:eastAsia="ja-JP"/>
        </w:rPr>
        <w:t>Besstremyannaya</w:t>
      </w:r>
      <w:r w:rsidR="00C64794" w:rsidRPr="00C64794">
        <w:rPr>
          <w:rFonts w:eastAsiaTheme="minorEastAsia"/>
          <w:lang w:eastAsia="ja-JP"/>
        </w:rPr>
        <w:t>, 2013</w:t>
      </w:r>
      <w:r w:rsidR="00134766" w:rsidRPr="00B60B17">
        <w:rPr>
          <w:lang w:eastAsia="ja-JP"/>
        </w:rPr>
        <w:t>.</w:t>
      </w:r>
    </w:p>
    <w:p w:rsidR="00D60043" w:rsidRPr="00B60B17" w:rsidRDefault="00DA07C4" w:rsidP="00B60B17">
      <w:pPr>
        <w:spacing w:line="360" w:lineRule="auto"/>
        <w:ind w:firstLine="539"/>
        <w:jc w:val="both"/>
        <w:rPr>
          <w:rStyle w:val="medium-font"/>
        </w:rPr>
      </w:pPr>
      <w:r>
        <w:rPr>
          <w:rStyle w:val="medium-font"/>
        </w:rPr>
        <w:t>Оценки методом</w:t>
      </w:r>
      <w:r w:rsidR="00D60043" w:rsidRPr="00B60B17">
        <w:rPr>
          <w:rStyle w:val="medium-font"/>
        </w:rPr>
        <w:t xml:space="preserve"> «разность разностей» для эффекта воздействия реформ</w:t>
      </w:r>
      <w:r w:rsidR="00C64794">
        <w:rPr>
          <w:rStyle w:val="medium-font"/>
        </w:rPr>
        <w:t>ы</w:t>
      </w:r>
      <w:r w:rsidR="00D60043" w:rsidRPr="00B60B17">
        <w:rPr>
          <w:rStyle w:val="medium-font"/>
        </w:rPr>
        <w:t xml:space="preserve"> финансирования на параметрические и непараметрические оценки эффективности производителей в экономике </w:t>
      </w:r>
      <w:r w:rsidR="0023491C" w:rsidRPr="00B60B17">
        <w:rPr>
          <w:rStyle w:val="medium-font"/>
        </w:rPr>
        <w:t>здравоохранения, а</w:t>
      </w:r>
      <w:r w:rsidR="00D60043" w:rsidRPr="00B60B17">
        <w:rPr>
          <w:rStyle w:val="medium-font"/>
        </w:rPr>
        <w:t xml:space="preserve"> также на эластичность потребительского спроса по цене позволяют получить </w:t>
      </w:r>
      <w:r w:rsidR="00D52F95" w:rsidRPr="00B60B17">
        <w:rPr>
          <w:rStyle w:val="medium-font"/>
        </w:rPr>
        <w:t>дополнительные экономи</w:t>
      </w:r>
      <w:r w:rsidR="008A61DA" w:rsidRPr="00B60B17">
        <w:rPr>
          <w:rStyle w:val="medium-font"/>
        </w:rPr>
        <w:t xml:space="preserve">ко-математические выводы </w:t>
      </w:r>
      <w:r w:rsidR="00D52F95" w:rsidRPr="00B60B17">
        <w:rPr>
          <w:rStyle w:val="medium-font"/>
        </w:rPr>
        <w:t xml:space="preserve">по сравнению с интерпретацией коэффициентов при </w:t>
      </w:r>
      <w:r w:rsidR="008A61DA" w:rsidRPr="00B60B17">
        <w:rPr>
          <w:rStyle w:val="medium-font"/>
        </w:rPr>
        <w:t>соответствующих</w:t>
      </w:r>
      <w:r w:rsidR="00D52F95" w:rsidRPr="00B60B17">
        <w:rPr>
          <w:rStyle w:val="medium-font"/>
        </w:rPr>
        <w:t xml:space="preserve"> объясняющих переменных </w:t>
      </w:r>
      <w:r w:rsidR="008A61DA" w:rsidRPr="00B60B17">
        <w:rPr>
          <w:rStyle w:val="medium-font"/>
        </w:rPr>
        <w:t>в исходных моделях</w:t>
      </w:r>
      <w:r w:rsidR="00D60043" w:rsidRPr="00B60B17">
        <w:rPr>
          <w:rStyle w:val="medium-font"/>
        </w:rPr>
        <w:t xml:space="preserve"> (</w:t>
      </w:r>
      <w:r w:rsidR="00D60043" w:rsidRPr="00B60B17">
        <w:rPr>
          <w:rStyle w:val="medium-font"/>
          <w:lang w:val="en-US"/>
        </w:rPr>
        <w:t>Besstremyannaya</w:t>
      </w:r>
      <w:r w:rsidR="00C64794">
        <w:rPr>
          <w:rStyle w:val="medium-font"/>
        </w:rPr>
        <w:t>,</w:t>
      </w:r>
      <w:r w:rsidR="00D60043" w:rsidRPr="00B60B17">
        <w:rPr>
          <w:rStyle w:val="medium-font"/>
        </w:rPr>
        <w:t xml:space="preserve"> 2013).</w:t>
      </w:r>
    </w:p>
    <w:p w:rsidR="00B76913" w:rsidRPr="00B60B17" w:rsidRDefault="00134766" w:rsidP="00B60B17">
      <w:pPr>
        <w:spacing w:line="360" w:lineRule="auto"/>
        <w:ind w:firstLine="708"/>
        <w:jc w:val="both"/>
        <w:rPr>
          <w:rFonts w:eastAsiaTheme="minorEastAsia"/>
          <w:lang w:eastAsia="ja-JP"/>
        </w:rPr>
      </w:pPr>
      <w:r w:rsidRPr="00B60B17">
        <w:t>5</w:t>
      </w:r>
      <w:r w:rsidR="00B76913" w:rsidRPr="00B60B17">
        <w:t xml:space="preserve">. Робастное оценивание ценовой эффективности </w:t>
      </w:r>
      <w:r w:rsidR="00860338" w:rsidRPr="00B60B17">
        <w:t xml:space="preserve">в рамках </w:t>
      </w:r>
      <w:r w:rsidR="00C64794">
        <w:t xml:space="preserve">непараметрических </w:t>
      </w:r>
      <w:r w:rsidR="00860338" w:rsidRPr="00B60B17">
        <w:t xml:space="preserve">моделей производственной границы </w:t>
      </w:r>
      <w:r w:rsidR="00C64794">
        <w:t>(</w:t>
      </w:r>
      <w:r w:rsidR="00C64794">
        <w:rPr>
          <w:rFonts w:eastAsiaTheme="minorEastAsia"/>
          <w:lang w:val="en-US" w:eastAsia="ja-JP"/>
        </w:rPr>
        <w:t>data</w:t>
      </w:r>
      <w:r w:rsidR="00C64794" w:rsidRPr="00C64794">
        <w:rPr>
          <w:rFonts w:eastAsiaTheme="minorEastAsia"/>
          <w:lang w:eastAsia="ja-JP"/>
        </w:rPr>
        <w:t xml:space="preserve"> </w:t>
      </w:r>
      <w:r w:rsidR="00C64794">
        <w:rPr>
          <w:rFonts w:eastAsiaTheme="minorEastAsia"/>
          <w:lang w:val="en-US" w:eastAsia="ja-JP"/>
        </w:rPr>
        <w:t>envelopment</w:t>
      </w:r>
      <w:r w:rsidR="00C64794" w:rsidRPr="00C64794">
        <w:rPr>
          <w:rFonts w:eastAsiaTheme="minorEastAsia"/>
          <w:lang w:eastAsia="ja-JP"/>
        </w:rPr>
        <w:t xml:space="preserve"> </w:t>
      </w:r>
      <w:r w:rsidR="00C64794">
        <w:rPr>
          <w:rFonts w:eastAsiaTheme="minorEastAsia"/>
          <w:lang w:val="en-US" w:eastAsia="ja-JP"/>
        </w:rPr>
        <w:t>analysis</w:t>
      </w:r>
      <w:r w:rsidR="00C64794" w:rsidRPr="00C64794">
        <w:rPr>
          <w:rFonts w:eastAsiaTheme="minorEastAsia"/>
          <w:lang w:eastAsia="ja-JP"/>
        </w:rPr>
        <w:t xml:space="preserve">, </w:t>
      </w:r>
      <w:r w:rsidR="00C64794">
        <w:rPr>
          <w:rFonts w:eastAsiaTheme="minorEastAsia" w:hint="eastAsia"/>
          <w:lang w:eastAsia="ja-JP"/>
        </w:rPr>
        <w:t>D</w:t>
      </w:r>
      <w:r w:rsidR="00C64794">
        <w:rPr>
          <w:rFonts w:eastAsiaTheme="minorEastAsia"/>
          <w:lang w:eastAsia="ja-JP"/>
        </w:rPr>
        <w:t xml:space="preserve">EA) </w:t>
      </w:r>
      <w:r w:rsidR="00C64794">
        <w:t>с</w:t>
      </w:r>
      <w:r w:rsidRPr="00B60B17">
        <w:t xml:space="preserve"> помощью корректировки смещения </w:t>
      </w:r>
      <w:r w:rsidR="00860338" w:rsidRPr="00B60B17">
        <w:t xml:space="preserve">позволяет осуществить более точные оценки эффективности для различных категорий </w:t>
      </w:r>
      <w:proofErr w:type="gramStart"/>
      <w:r w:rsidR="00860338" w:rsidRPr="00B60B17">
        <w:t>банков</w:t>
      </w:r>
      <w:r w:rsidR="00C64794">
        <w:t xml:space="preserve">  по</w:t>
      </w:r>
      <w:proofErr w:type="gramEnd"/>
      <w:r w:rsidR="00C64794">
        <w:t xml:space="preserve"> сравнению с «наивными»</w:t>
      </w:r>
      <w:r w:rsidR="00860338" w:rsidRPr="00B60B17">
        <w:t xml:space="preserve"> </w:t>
      </w:r>
      <w:r w:rsidR="00C64794">
        <w:t xml:space="preserve">оценками </w:t>
      </w:r>
      <w:r w:rsidR="00860338" w:rsidRPr="00B60B17">
        <w:t>(</w:t>
      </w:r>
      <w:r w:rsidR="00860338" w:rsidRPr="00B60B17">
        <w:rPr>
          <w:rFonts w:eastAsiaTheme="minorEastAsia"/>
          <w:lang w:val="en-US" w:eastAsia="ja-JP"/>
        </w:rPr>
        <w:t>Besstremyannaya</w:t>
      </w:r>
      <w:r w:rsidR="00860338" w:rsidRPr="00B60B17">
        <w:rPr>
          <w:rFonts w:eastAsiaTheme="minorEastAsia"/>
          <w:lang w:eastAsia="ja-JP"/>
        </w:rPr>
        <w:t xml:space="preserve"> </w:t>
      </w:r>
      <w:r w:rsidR="00860338" w:rsidRPr="00B60B17">
        <w:rPr>
          <w:rFonts w:eastAsiaTheme="minorEastAsia"/>
          <w:lang w:val="en-US" w:eastAsia="ja-JP"/>
        </w:rPr>
        <w:t>and</w:t>
      </w:r>
      <w:r w:rsidR="00860338" w:rsidRPr="00B60B17">
        <w:rPr>
          <w:rFonts w:eastAsiaTheme="minorEastAsia"/>
          <w:lang w:eastAsia="ja-JP"/>
        </w:rPr>
        <w:t xml:space="preserve"> </w:t>
      </w:r>
      <w:proofErr w:type="spellStart"/>
      <w:r w:rsidR="00860338" w:rsidRPr="00B60B17">
        <w:rPr>
          <w:rFonts w:eastAsiaTheme="minorEastAsia"/>
          <w:lang w:val="en-US" w:eastAsia="ja-JP"/>
        </w:rPr>
        <w:t>Simm</w:t>
      </w:r>
      <w:proofErr w:type="spellEnd"/>
      <w:r w:rsidR="00860338" w:rsidRPr="00B60B17">
        <w:rPr>
          <w:rFonts w:eastAsiaTheme="minorEastAsia"/>
          <w:lang w:eastAsia="ja-JP"/>
        </w:rPr>
        <w:t>, 2019).</w:t>
      </w:r>
    </w:p>
    <w:p w:rsidR="00F17933" w:rsidRPr="00B60B17" w:rsidRDefault="00F17933" w:rsidP="00B60B17">
      <w:pPr>
        <w:spacing w:line="360" w:lineRule="auto"/>
        <w:ind w:firstLine="539"/>
        <w:jc w:val="both"/>
        <w:rPr>
          <w:rStyle w:val="medium-font"/>
          <w:b/>
        </w:rPr>
      </w:pPr>
      <w:r w:rsidRPr="00B60B17">
        <w:rPr>
          <w:rStyle w:val="medium-font"/>
          <w:b/>
        </w:rPr>
        <w:t>Динамические панели</w:t>
      </w:r>
    </w:p>
    <w:p w:rsidR="00D60043" w:rsidRPr="00B60B17" w:rsidRDefault="00134766" w:rsidP="00B60B17">
      <w:pPr>
        <w:spacing w:line="360" w:lineRule="auto"/>
        <w:jc w:val="both"/>
      </w:pPr>
      <w:r w:rsidRPr="00B60B17">
        <w:rPr>
          <w:lang w:eastAsia="ja-JP"/>
        </w:rPr>
        <w:t xml:space="preserve">        6</w:t>
      </w:r>
      <w:r w:rsidR="00D60043" w:rsidRPr="00B60B17">
        <w:rPr>
          <w:lang w:eastAsia="ja-JP"/>
        </w:rPr>
        <w:t>.</w:t>
      </w:r>
      <w:r w:rsidR="008D1C74" w:rsidRPr="00B60B17">
        <w:rPr>
          <w:lang w:eastAsia="ja-JP"/>
        </w:rPr>
        <w:t xml:space="preserve"> </w:t>
      </w:r>
      <w:r w:rsidR="00D60043" w:rsidRPr="00B60B17">
        <w:rPr>
          <w:lang w:eastAsia="ja-JP"/>
        </w:rPr>
        <w:t xml:space="preserve">Модели с динамическими панелями </w:t>
      </w:r>
      <w:r w:rsidR="00AB139A" w:rsidRPr="00B60B17">
        <w:rPr>
          <w:lang w:eastAsia="ja-JP"/>
        </w:rPr>
        <w:t>позвол</w:t>
      </w:r>
      <w:r w:rsidR="00DC2507" w:rsidRPr="00B60B17">
        <w:rPr>
          <w:lang w:eastAsia="ja-JP"/>
        </w:rPr>
        <w:t xml:space="preserve">яют выявить </w:t>
      </w:r>
      <w:r w:rsidR="0023491C" w:rsidRPr="00B60B17">
        <w:rPr>
          <w:lang w:eastAsia="ja-JP"/>
        </w:rPr>
        <w:t>различные эффекты</w:t>
      </w:r>
      <w:r w:rsidR="00DC2507" w:rsidRPr="00B60B17">
        <w:rPr>
          <w:lang w:eastAsia="ja-JP"/>
        </w:rPr>
        <w:t xml:space="preserve"> реформ </w:t>
      </w:r>
      <w:r w:rsidR="008D1C74" w:rsidRPr="00B60B17">
        <w:rPr>
          <w:lang w:eastAsia="ja-JP"/>
        </w:rPr>
        <w:t xml:space="preserve">финансирования </w:t>
      </w:r>
      <w:r w:rsidR="00DA07C4">
        <w:rPr>
          <w:lang w:eastAsia="ja-JP"/>
        </w:rPr>
        <w:t>на</w:t>
      </w:r>
      <w:r w:rsidR="00DC2507" w:rsidRPr="00B60B17">
        <w:rPr>
          <w:lang w:eastAsia="ja-JP"/>
        </w:rPr>
        <w:t xml:space="preserve"> производителей </w:t>
      </w:r>
      <w:r w:rsidR="00860338" w:rsidRPr="00B60B17">
        <w:rPr>
          <w:lang w:eastAsia="ja-JP"/>
        </w:rPr>
        <w:t xml:space="preserve">в экономике здравоохранения </w:t>
      </w:r>
      <w:r w:rsidR="0023491C" w:rsidRPr="00B60B17">
        <w:rPr>
          <w:lang w:eastAsia="ja-JP"/>
        </w:rPr>
        <w:t>с высокими</w:t>
      </w:r>
      <w:r w:rsidR="00860338" w:rsidRPr="00B60B17">
        <w:rPr>
          <w:lang w:eastAsia="ja-JP"/>
        </w:rPr>
        <w:t xml:space="preserve"> или низкими </w:t>
      </w:r>
      <w:r w:rsidR="00860338" w:rsidRPr="00B60B17">
        <w:rPr>
          <w:lang w:eastAsia="ja-JP"/>
        </w:rPr>
        <w:lastRenderedPageBreak/>
        <w:t xml:space="preserve">дореформенными значениями показателей качества </w:t>
      </w:r>
      <w:r w:rsidR="00D60043" w:rsidRPr="00B60B17">
        <w:t>(</w:t>
      </w:r>
      <w:r w:rsidR="00860338" w:rsidRPr="00B60B17">
        <w:rPr>
          <w:rFonts w:eastAsiaTheme="minorEastAsia"/>
          <w:lang w:val="en-US" w:eastAsia="ja-JP"/>
        </w:rPr>
        <w:t>B</w:t>
      </w:r>
      <w:r w:rsidR="00D60043" w:rsidRPr="00B60B17">
        <w:rPr>
          <w:lang w:val="en-US"/>
        </w:rPr>
        <w:t>esstremyannaya</w:t>
      </w:r>
      <w:r w:rsidR="00C64794">
        <w:t>,</w:t>
      </w:r>
      <w:r w:rsidR="00D60043" w:rsidRPr="00B60B17">
        <w:t xml:space="preserve"> 201</w:t>
      </w:r>
      <w:r w:rsidR="00B76913" w:rsidRPr="00B60B17">
        <w:t>6</w:t>
      </w:r>
      <w:r w:rsidR="00860338" w:rsidRPr="00B60B17">
        <w:t xml:space="preserve">, </w:t>
      </w:r>
      <w:r w:rsidR="00860338" w:rsidRPr="00B60B17">
        <w:rPr>
          <w:lang w:val="en-US"/>
        </w:rPr>
        <w:t>Besstremyannaya</w:t>
      </w:r>
      <w:r w:rsidR="00860338" w:rsidRPr="00B60B17">
        <w:t xml:space="preserve"> </w:t>
      </w:r>
      <w:r w:rsidR="00860338" w:rsidRPr="00B60B17">
        <w:rPr>
          <w:lang w:val="en-US"/>
        </w:rPr>
        <w:t>and</w:t>
      </w:r>
      <w:r w:rsidR="00860338" w:rsidRPr="00B60B17">
        <w:t xml:space="preserve"> </w:t>
      </w:r>
      <w:r w:rsidR="00860338" w:rsidRPr="00B60B17">
        <w:rPr>
          <w:lang w:val="en-US"/>
        </w:rPr>
        <w:t>Golovan</w:t>
      </w:r>
      <w:r w:rsidR="00860338" w:rsidRPr="00B60B17">
        <w:t>, 2019</w:t>
      </w:r>
      <w:r w:rsidR="00CE7F3E">
        <w:rPr>
          <w:lang w:val="en-US"/>
        </w:rPr>
        <w:t>b</w:t>
      </w:r>
      <w:r w:rsidR="00D60043" w:rsidRPr="00B60B17">
        <w:t>).</w:t>
      </w:r>
    </w:p>
    <w:p w:rsidR="009F62CD" w:rsidRPr="00B60B17" w:rsidRDefault="009F62CD" w:rsidP="00B60B17">
      <w:pPr>
        <w:spacing w:line="360" w:lineRule="auto"/>
        <w:ind w:firstLine="708"/>
        <w:jc w:val="center"/>
        <w:rPr>
          <w:b/>
        </w:rPr>
      </w:pPr>
      <w:r w:rsidRPr="00B60B17">
        <w:rPr>
          <w:b/>
        </w:rPr>
        <w:t>Степень достоверности и апробация результатов</w:t>
      </w:r>
    </w:p>
    <w:p w:rsidR="000550B8" w:rsidRPr="00B60B17" w:rsidRDefault="009F62CD" w:rsidP="00B60B17">
      <w:pPr>
        <w:spacing w:line="360" w:lineRule="auto"/>
        <w:ind w:firstLine="709"/>
        <w:jc w:val="both"/>
      </w:pPr>
      <w:r w:rsidRPr="00B60B17">
        <w:rPr>
          <w:rFonts w:eastAsia="MS Mincho"/>
          <w:lang w:eastAsia="ja-JP"/>
        </w:rPr>
        <w:t>Результаты исследования опубликованы автором</w:t>
      </w:r>
      <w:r w:rsidR="00D778D1" w:rsidRPr="00B60B17">
        <w:rPr>
          <w:rFonts w:eastAsia="MS Mincho"/>
          <w:lang w:eastAsia="ja-JP"/>
        </w:rPr>
        <w:t xml:space="preserve"> диссертации</w:t>
      </w:r>
      <w:r w:rsidRPr="00B60B17">
        <w:rPr>
          <w:rFonts w:eastAsia="MS Mincho"/>
          <w:lang w:eastAsia="ja-JP"/>
        </w:rPr>
        <w:t xml:space="preserve"> в </w:t>
      </w:r>
      <w:r w:rsidR="006E7C9E" w:rsidRPr="00B60B17">
        <w:rPr>
          <w:rFonts w:eastAsia="MS Mincho"/>
          <w:lang w:eastAsia="ja-JP"/>
        </w:rPr>
        <w:t xml:space="preserve">зарубежных и российских </w:t>
      </w:r>
      <w:r w:rsidR="000550B8" w:rsidRPr="00B60B17">
        <w:rPr>
          <w:rFonts w:eastAsia="MS Mincho"/>
          <w:lang w:eastAsia="ja-JP"/>
        </w:rPr>
        <w:t>научных журналах</w:t>
      </w:r>
      <w:r w:rsidR="00B76913" w:rsidRPr="00B60B17">
        <w:rPr>
          <w:rFonts w:eastAsia="MS Mincho"/>
          <w:lang w:eastAsia="ja-JP"/>
        </w:rPr>
        <w:t>; препринтах зарубежных вузов и исследовательских центров</w:t>
      </w:r>
      <w:r w:rsidR="000550B8" w:rsidRPr="00B60B17">
        <w:rPr>
          <w:rFonts w:eastAsia="MS Mincho"/>
          <w:lang w:eastAsia="ja-JP"/>
        </w:rPr>
        <w:t xml:space="preserve">; </w:t>
      </w:r>
      <w:r w:rsidRPr="00B60B17">
        <w:t>докладывались автором на международных конференциях</w:t>
      </w:r>
      <w:r w:rsidR="00C64794">
        <w:t xml:space="preserve"> и встречах</w:t>
      </w:r>
      <w:r w:rsidR="008D1C74" w:rsidRPr="00B60B17">
        <w:t xml:space="preserve"> научных сообществ</w:t>
      </w:r>
      <w:r w:rsidR="00CD2F41" w:rsidRPr="00B60B17">
        <w:t xml:space="preserve"> (</w:t>
      </w:r>
      <w:r w:rsidR="00E2445F" w:rsidRPr="00B60B17">
        <w:t xml:space="preserve">в том числе </w:t>
      </w:r>
      <w:r w:rsidR="00134766" w:rsidRPr="00B60B17">
        <w:t xml:space="preserve">ежегодно в 2013-2021 гг. на конгрессах </w:t>
      </w:r>
      <w:r w:rsidR="00CD2F41" w:rsidRPr="00B60B17">
        <w:rPr>
          <w:lang w:val="en-US"/>
        </w:rPr>
        <w:t>European</w:t>
      </w:r>
      <w:r w:rsidR="00CD2F41" w:rsidRPr="00B60B17">
        <w:t xml:space="preserve"> </w:t>
      </w:r>
      <w:r w:rsidR="00CD2F41" w:rsidRPr="00B60B17">
        <w:rPr>
          <w:lang w:val="en-US"/>
        </w:rPr>
        <w:t>Economic</w:t>
      </w:r>
      <w:r w:rsidR="00CD2F41" w:rsidRPr="00B60B17">
        <w:t xml:space="preserve"> </w:t>
      </w:r>
      <w:r w:rsidR="00CD2F41" w:rsidRPr="00B60B17">
        <w:rPr>
          <w:lang w:val="en-US"/>
        </w:rPr>
        <w:t>Association</w:t>
      </w:r>
      <w:r w:rsidR="00CD2F41" w:rsidRPr="00B60B17">
        <w:t xml:space="preserve"> </w:t>
      </w:r>
      <w:r w:rsidR="00CD2F41" w:rsidRPr="00B60B17">
        <w:rPr>
          <w:lang w:val="en-US"/>
        </w:rPr>
        <w:t>and</w:t>
      </w:r>
      <w:r w:rsidR="00CD2F41" w:rsidRPr="00B60B17">
        <w:t xml:space="preserve"> </w:t>
      </w:r>
      <w:r w:rsidR="00CD2F41" w:rsidRPr="00B60B17">
        <w:rPr>
          <w:lang w:val="en-US"/>
        </w:rPr>
        <w:t>Econometric</w:t>
      </w:r>
      <w:r w:rsidR="00CD2F41" w:rsidRPr="00B60B17">
        <w:t xml:space="preserve"> </w:t>
      </w:r>
      <w:r w:rsidR="00CD2F41" w:rsidRPr="00B60B17">
        <w:rPr>
          <w:lang w:val="en-US"/>
        </w:rPr>
        <w:t>Society</w:t>
      </w:r>
      <w:r w:rsidR="00CD2F41" w:rsidRPr="00B60B17">
        <w:t xml:space="preserve"> </w:t>
      </w:r>
      <w:r w:rsidR="00CD2F41" w:rsidRPr="00B60B17">
        <w:rPr>
          <w:lang w:val="en-US"/>
        </w:rPr>
        <w:t>European</w:t>
      </w:r>
      <w:r w:rsidR="00CD2F41" w:rsidRPr="00B60B17">
        <w:t xml:space="preserve"> </w:t>
      </w:r>
      <w:r w:rsidR="00CD2F41" w:rsidRPr="00B60B17">
        <w:rPr>
          <w:lang w:val="en-US"/>
        </w:rPr>
        <w:t>Meeting</w:t>
      </w:r>
      <w:r w:rsidR="00CD2F41" w:rsidRPr="00B60B17">
        <w:t xml:space="preserve">; </w:t>
      </w:r>
      <w:r w:rsidR="00C64794">
        <w:t xml:space="preserve">а также на </w:t>
      </w:r>
      <w:r w:rsidR="00CD2F41" w:rsidRPr="00B60B17">
        <w:rPr>
          <w:lang w:val="en-US"/>
        </w:rPr>
        <w:t>North</w:t>
      </w:r>
      <w:r w:rsidR="00CD2F41" w:rsidRPr="00B60B17">
        <w:t xml:space="preserve"> </w:t>
      </w:r>
      <w:r w:rsidR="00CD2F41" w:rsidRPr="00B60B17">
        <w:rPr>
          <w:lang w:val="en-US"/>
        </w:rPr>
        <w:t>American</w:t>
      </w:r>
      <w:r w:rsidR="00CD2F41" w:rsidRPr="00B60B17">
        <w:t xml:space="preserve">, </w:t>
      </w:r>
      <w:proofErr w:type="spellStart"/>
      <w:r w:rsidR="00CD2F41" w:rsidRPr="00B60B17">
        <w:t>Asian</w:t>
      </w:r>
      <w:proofErr w:type="spellEnd"/>
      <w:r w:rsidR="00CD2F41" w:rsidRPr="00B60B17">
        <w:t xml:space="preserve">, </w:t>
      </w:r>
      <w:proofErr w:type="spellStart"/>
      <w:r w:rsidR="00CD2F41" w:rsidRPr="00B60B17">
        <w:t>Australasian</w:t>
      </w:r>
      <w:proofErr w:type="spellEnd"/>
      <w:r w:rsidR="00CD2F41" w:rsidRPr="00B60B17">
        <w:t xml:space="preserve"> </w:t>
      </w:r>
      <w:r w:rsidR="00CD2F41" w:rsidRPr="00B60B17">
        <w:rPr>
          <w:lang w:val="en-US"/>
        </w:rPr>
        <w:t>regional</w:t>
      </w:r>
      <w:r w:rsidR="00CD2F41" w:rsidRPr="00B60B17">
        <w:t xml:space="preserve"> </w:t>
      </w:r>
      <w:proofErr w:type="spellStart"/>
      <w:r w:rsidR="00CD2F41" w:rsidRPr="00B60B17">
        <w:t>meetings</w:t>
      </w:r>
      <w:proofErr w:type="spellEnd"/>
      <w:r w:rsidR="00CD2F41" w:rsidRPr="00B60B17">
        <w:t xml:space="preserve"> </w:t>
      </w:r>
      <w:r w:rsidR="00CD2F41" w:rsidRPr="00B60B17">
        <w:rPr>
          <w:lang w:val="en-US"/>
        </w:rPr>
        <w:t>of</w:t>
      </w:r>
      <w:r w:rsidR="00CD2F41" w:rsidRPr="00B60B17">
        <w:t xml:space="preserve"> </w:t>
      </w:r>
      <w:r w:rsidR="00CD2F41" w:rsidRPr="00B60B17">
        <w:rPr>
          <w:lang w:val="en-US"/>
        </w:rPr>
        <w:t>Econometric</w:t>
      </w:r>
      <w:r w:rsidR="00CD2F41" w:rsidRPr="00B60B17">
        <w:t xml:space="preserve"> </w:t>
      </w:r>
      <w:r w:rsidR="00CD2F41" w:rsidRPr="00B60B17">
        <w:rPr>
          <w:lang w:val="en-US"/>
        </w:rPr>
        <w:t>Society</w:t>
      </w:r>
      <w:r w:rsidR="00E2445F" w:rsidRPr="00B60B17">
        <w:t xml:space="preserve">; </w:t>
      </w:r>
      <w:proofErr w:type="spellStart"/>
      <w:r w:rsidR="00E2445F" w:rsidRPr="00B60B17">
        <w:rPr>
          <w:rFonts w:eastAsiaTheme="minorEastAsia"/>
          <w:lang w:eastAsia="ja-JP"/>
        </w:rPr>
        <w:t>International</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Health</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Economics</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Association</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congresses</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Conferences</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of</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the</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American</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Society</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of</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Health</w:t>
      </w:r>
      <w:proofErr w:type="spellEnd"/>
      <w:r w:rsidR="00E2445F" w:rsidRPr="00B60B17">
        <w:rPr>
          <w:rFonts w:eastAsiaTheme="minorEastAsia"/>
          <w:lang w:eastAsia="ja-JP"/>
        </w:rPr>
        <w:t xml:space="preserve"> </w:t>
      </w:r>
      <w:proofErr w:type="spellStart"/>
      <w:r w:rsidR="00E2445F" w:rsidRPr="00B60B17">
        <w:rPr>
          <w:rFonts w:eastAsiaTheme="minorEastAsia"/>
          <w:lang w:eastAsia="ja-JP"/>
        </w:rPr>
        <w:t>Economists</w:t>
      </w:r>
      <w:proofErr w:type="spellEnd"/>
      <w:r w:rsidR="00CD2F41" w:rsidRPr="00B60B17">
        <w:t>)</w:t>
      </w:r>
      <w:r w:rsidR="008D1C74" w:rsidRPr="00B60B17">
        <w:t>;</w:t>
      </w:r>
      <w:r w:rsidR="000550B8" w:rsidRPr="00B60B17">
        <w:t xml:space="preserve"> </w:t>
      </w:r>
      <w:r w:rsidR="00CD2F41" w:rsidRPr="00B60B17">
        <w:t>конф</w:t>
      </w:r>
      <w:r w:rsidR="008D1C74" w:rsidRPr="00B60B17">
        <w:t>е</w:t>
      </w:r>
      <w:r w:rsidR="00CD2F41" w:rsidRPr="00B60B17">
        <w:t xml:space="preserve">ренциях, </w:t>
      </w:r>
      <w:r w:rsidR="000550B8" w:rsidRPr="00B60B17">
        <w:t>приглашенных лекциях</w:t>
      </w:r>
      <w:r w:rsidRPr="00B60B17">
        <w:t xml:space="preserve"> и семинарах </w:t>
      </w:r>
      <w:r w:rsidR="000550B8" w:rsidRPr="00B60B17">
        <w:t>российских и зарубежных вуз</w:t>
      </w:r>
      <w:r w:rsidR="008D1C74" w:rsidRPr="00B60B17">
        <w:t xml:space="preserve">ов </w:t>
      </w:r>
      <w:r w:rsidR="00C64794">
        <w:t xml:space="preserve">в 2011-2021 гг. </w:t>
      </w:r>
      <w:r w:rsidR="00CD2F41" w:rsidRPr="00B60B17">
        <w:t>(</w:t>
      </w:r>
      <w:r w:rsidR="00CD2F41" w:rsidRPr="00B60B17">
        <w:rPr>
          <w:lang w:val="en-US"/>
        </w:rPr>
        <w:t>Stanford</w:t>
      </w:r>
      <w:r w:rsidR="00CD2F41" w:rsidRPr="00B60B17">
        <w:t xml:space="preserve"> </w:t>
      </w:r>
      <w:r w:rsidR="00CD2F41" w:rsidRPr="00B60B17">
        <w:rPr>
          <w:lang w:val="en-US"/>
        </w:rPr>
        <w:t>University</w:t>
      </w:r>
      <w:r w:rsidR="00CD2F41" w:rsidRPr="00B60B17">
        <w:t xml:space="preserve">, </w:t>
      </w:r>
      <w:r w:rsidR="00CD2F41" w:rsidRPr="00B60B17">
        <w:rPr>
          <w:lang w:val="en-US"/>
        </w:rPr>
        <w:t>Northwestern</w:t>
      </w:r>
      <w:r w:rsidR="00CD2F41" w:rsidRPr="00B60B17">
        <w:t xml:space="preserve"> </w:t>
      </w:r>
      <w:r w:rsidR="00CD2F41" w:rsidRPr="00B60B17">
        <w:rPr>
          <w:lang w:val="en-US"/>
        </w:rPr>
        <w:t>University</w:t>
      </w:r>
      <w:r w:rsidR="00CD2F41" w:rsidRPr="00B60B17">
        <w:t xml:space="preserve">, </w:t>
      </w:r>
      <w:r w:rsidR="00CD2F41" w:rsidRPr="00B60B17">
        <w:rPr>
          <w:lang w:val="en-US"/>
        </w:rPr>
        <w:t>University</w:t>
      </w:r>
      <w:r w:rsidR="00CD2F41" w:rsidRPr="00B60B17">
        <w:t xml:space="preserve"> </w:t>
      </w:r>
      <w:r w:rsidR="00CD2F41" w:rsidRPr="00B60B17">
        <w:rPr>
          <w:lang w:val="en-US"/>
        </w:rPr>
        <w:t>of</w:t>
      </w:r>
      <w:r w:rsidR="00CD2F41" w:rsidRPr="00B60B17">
        <w:t xml:space="preserve"> </w:t>
      </w:r>
      <w:r w:rsidR="00CD2F41" w:rsidRPr="00B60B17">
        <w:rPr>
          <w:lang w:val="en-US"/>
        </w:rPr>
        <w:t>Duisburg</w:t>
      </w:r>
      <w:r w:rsidR="00CD2F41" w:rsidRPr="00B60B17">
        <w:t>-</w:t>
      </w:r>
      <w:r w:rsidR="00CD2F41" w:rsidRPr="00B60B17">
        <w:rPr>
          <w:lang w:val="en-US"/>
        </w:rPr>
        <w:t>Essen</w:t>
      </w:r>
      <w:r w:rsidR="00CD2F41" w:rsidRPr="00B60B17">
        <w:t xml:space="preserve">, </w:t>
      </w:r>
      <w:proofErr w:type="spellStart"/>
      <w:r w:rsidR="00CD2F41" w:rsidRPr="00B60B17">
        <w:rPr>
          <w:rFonts w:eastAsiaTheme="minorEastAsia"/>
          <w:lang w:val="en-US" w:eastAsia="ja-JP"/>
        </w:rPr>
        <w:t>Hitotsubashi</w:t>
      </w:r>
      <w:proofErr w:type="spellEnd"/>
      <w:r w:rsidR="00CD2F41" w:rsidRPr="00B60B17">
        <w:rPr>
          <w:rFonts w:eastAsiaTheme="minorEastAsia"/>
          <w:lang w:eastAsia="ja-JP"/>
        </w:rPr>
        <w:t xml:space="preserve"> </w:t>
      </w:r>
      <w:r w:rsidR="00CD2F41" w:rsidRPr="00B60B17">
        <w:rPr>
          <w:rFonts w:eastAsiaTheme="minorEastAsia"/>
          <w:lang w:val="en-US" w:eastAsia="ja-JP"/>
        </w:rPr>
        <w:t>University</w:t>
      </w:r>
      <w:r w:rsidR="00CD2F41" w:rsidRPr="00B60B17">
        <w:rPr>
          <w:rFonts w:eastAsiaTheme="minorEastAsia"/>
          <w:lang w:eastAsia="ja-JP"/>
        </w:rPr>
        <w:t xml:space="preserve">, </w:t>
      </w:r>
      <w:proofErr w:type="spellStart"/>
      <w:r w:rsidR="00CD2F41" w:rsidRPr="00B60B17">
        <w:rPr>
          <w:rFonts w:eastAsiaTheme="minorEastAsia"/>
          <w:lang w:eastAsia="ja-JP"/>
        </w:rPr>
        <w:t>Waseda</w:t>
      </w:r>
      <w:proofErr w:type="spellEnd"/>
      <w:r w:rsidR="00CD2F41" w:rsidRPr="00B60B17">
        <w:rPr>
          <w:rFonts w:eastAsiaTheme="minorEastAsia"/>
          <w:lang w:eastAsia="ja-JP"/>
        </w:rPr>
        <w:t xml:space="preserve"> </w:t>
      </w:r>
      <w:proofErr w:type="spellStart"/>
      <w:r w:rsidR="00CD2F41" w:rsidRPr="00B60B17">
        <w:rPr>
          <w:rFonts w:eastAsiaTheme="minorEastAsia"/>
          <w:lang w:eastAsia="ja-JP"/>
        </w:rPr>
        <w:t>University</w:t>
      </w:r>
      <w:proofErr w:type="spellEnd"/>
      <w:r w:rsidR="00CD2F41" w:rsidRPr="00B60B17">
        <w:rPr>
          <w:rFonts w:eastAsiaTheme="minorEastAsia"/>
          <w:lang w:eastAsia="ja-JP"/>
        </w:rPr>
        <w:t xml:space="preserve">, </w:t>
      </w:r>
      <w:r w:rsidR="00CD2F41" w:rsidRPr="00B60B17">
        <w:rPr>
          <w:rFonts w:eastAsiaTheme="minorEastAsia"/>
          <w:lang w:val="en-US" w:eastAsia="ja-JP"/>
        </w:rPr>
        <w:t>Kyushu</w:t>
      </w:r>
      <w:r w:rsidR="00CD2F41" w:rsidRPr="00B60B17">
        <w:rPr>
          <w:rFonts w:eastAsiaTheme="minorEastAsia"/>
          <w:lang w:eastAsia="ja-JP"/>
        </w:rPr>
        <w:t xml:space="preserve"> </w:t>
      </w:r>
      <w:r w:rsidR="00CD2F41" w:rsidRPr="00B60B17">
        <w:rPr>
          <w:rFonts w:eastAsiaTheme="minorEastAsia"/>
          <w:lang w:val="en-US" w:eastAsia="ja-JP"/>
        </w:rPr>
        <w:t>University</w:t>
      </w:r>
      <w:r w:rsidR="00CD2F41" w:rsidRPr="00B60B17">
        <w:rPr>
          <w:rFonts w:eastAsiaTheme="minorEastAsia"/>
          <w:lang w:eastAsia="ja-JP"/>
        </w:rPr>
        <w:t xml:space="preserve">, </w:t>
      </w:r>
      <w:r w:rsidR="00CD2F41" w:rsidRPr="00B60B17">
        <w:rPr>
          <w:rFonts w:eastAsiaTheme="minorEastAsia"/>
          <w:lang w:val="en-US" w:eastAsia="ja-JP"/>
        </w:rPr>
        <w:t>Keio</w:t>
      </w:r>
      <w:r w:rsidR="00CD2F41" w:rsidRPr="00B60B17">
        <w:rPr>
          <w:rFonts w:eastAsiaTheme="minorEastAsia"/>
          <w:lang w:eastAsia="ja-JP"/>
        </w:rPr>
        <w:t xml:space="preserve"> </w:t>
      </w:r>
      <w:r w:rsidR="00CD2F41" w:rsidRPr="00B60B17">
        <w:rPr>
          <w:rFonts w:eastAsiaTheme="minorEastAsia"/>
          <w:lang w:val="en-US" w:eastAsia="ja-JP"/>
        </w:rPr>
        <w:t>University</w:t>
      </w:r>
      <w:r w:rsidR="00C64794">
        <w:rPr>
          <w:rFonts w:eastAsiaTheme="minorEastAsia"/>
          <w:lang w:eastAsia="ja-JP"/>
        </w:rPr>
        <w:t>, РЭШ, НИУ ВШЭ</w:t>
      </w:r>
      <w:r w:rsidR="00CD2F41" w:rsidRPr="00B60B17">
        <w:t>)</w:t>
      </w:r>
      <w:r w:rsidR="000550B8" w:rsidRPr="00B60B17">
        <w:t>; применялись в рамках преподавания курсов и семинаров</w:t>
      </w:r>
      <w:r w:rsidR="00B76913" w:rsidRPr="00B60B17">
        <w:t xml:space="preserve"> </w:t>
      </w:r>
      <w:r w:rsidR="00CD2F41" w:rsidRPr="00B60B17">
        <w:t xml:space="preserve">по банковской деятельности, </w:t>
      </w:r>
      <w:r w:rsidR="00134766" w:rsidRPr="00B60B17">
        <w:t xml:space="preserve">поведенческой экономике, </w:t>
      </w:r>
      <w:r w:rsidR="00CD2F41" w:rsidRPr="00B60B17">
        <w:t>инновационному росту</w:t>
      </w:r>
      <w:r w:rsidR="00C64794">
        <w:t>, прикладной эконометрике</w:t>
      </w:r>
      <w:r w:rsidR="00134766" w:rsidRPr="00B60B17">
        <w:t xml:space="preserve"> и</w:t>
      </w:r>
      <w:r w:rsidR="00CD2F41" w:rsidRPr="00B60B17">
        <w:t xml:space="preserve"> экономике здравоохранения </w:t>
      </w:r>
      <w:r w:rsidR="000550B8" w:rsidRPr="00B60B17">
        <w:t>в магистратуре НИУ ВШЭ</w:t>
      </w:r>
      <w:r w:rsidR="005D3E4F" w:rsidRPr="00B60B17">
        <w:t xml:space="preserve">; </w:t>
      </w:r>
      <w:r w:rsidR="000550B8" w:rsidRPr="00B60B17">
        <w:t xml:space="preserve">использованы </w:t>
      </w:r>
      <w:r w:rsidR="00B76913" w:rsidRPr="00B60B17">
        <w:t>в</w:t>
      </w:r>
      <w:r w:rsidR="000550B8" w:rsidRPr="00B60B17">
        <w:t xml:space="preserve"> научных и прикладных </w:t>
      </w:r>
      <w:r w:rsidR="00B76913" w:rsidRPr="00B60B17">
        <w:t>проектах</w:t>
      </w:r>
      <w:r w:rsidR="000550B8" w:rsidRPr="00B60B17">
        <w:t xml:space="preserve"> НИУ ВШЭ, РЭШ, </w:t>
      </w:r>
      <w:r w:rsidR="00B76913" w:rsidRPr="00B60B17">
        <w:t xml:space="preserve">Центра стратегических разработок, </w:t>
      </w:r>
      <w:r w:rsidR="000550B8" w:rsidRPr="00B60B17">
        <w:t>И</w:t>
      </w:r>
      <w:r w:rsidR="00B76913" w:rsidRPr="00B60B17">
        <w:t xml:space="preserve">нститута </w:t>
      </w:r>
      <w:r w:rsidR="000550B8" w:rsidRPr="00B60B17">
        <w:t>Д</w:t>
      </w:r>
      <w:r w:rsidR="00B76913" w:rsidRPr="00B60B17">
        <w:t xml:space="preserve">альнего </w:t>
      </w:r>
      <w:r w:rsidR="000550B8" w:rsidRPr="00B60B17">
        <w:t>В</w:t>
      </w:r>
      <w:r w:rsidR="00B76913" w:rsidRPr="00B60B17">
        <w:t>остока</w:t>
      </w:r>
      <w:r w:rsidR="000550B8" w:rsidRPr="00B60B17">
        <w:t xml:space="preserve"> РАН, </w:t>
      </w:r>
      <w:r w:rsidR="00C64794">
        <w:t xml:space="preserve">ИЭПП, </w:t>
      </w:r>
      <w:r w:rsidR="000550B8" w:rsidRPr="00B60B17">
        <w:t xml:space="preserve">ЦЭМИ РАН.   </w:t>
      </w:r>
    </w:p>
    <w:p w:rsidR="009F62CD" w:rsidRPr="00B60B17" w:rsidRDefault="009F62CD" w:rsidP="00B60B17">
      <w:pPr>
        <w:spacing w:line="360" w:lineRule="auto"/>
        <w:ind w:firstLine="709"/>
        <w:jc w:val="both"/>
      </w:pPr>
      <w:r w:rsidRPr="00B60B17">
        <w:t xml:space="preserve">Достоверность результатов </w:t>
      </w:r>
      <w:r w:rsidR="00D778D1" w:rsidRPr="00B60B17">
        <w:t xml:space="preserve">экономико-математического моделирования </w:t>
      </w:r>
      <w:r w:rsidRPr="00B60B17">
        <w:t xml:space="preserve">обеспечена с помощью </w:t>
      </w:r>
      <w:r w:rsidR="00D778D1" w:rsidRPr="00B60B17">
        <w:t>применения альтернативных методов (параметрически</w:t>
      </w:r>
      <w:r w:rsidR="005343D3" w:rsidRPr="00B60B17">
        <w:t>е</w:t>
      </w:r>
      <w:r w:rsidR="00D778D1" w:rsidRPr="00B60B17">
        <w:t xml:space="preserve"> и непараметрические модели); моделей с разным набором факторов производства, видов </w:t>
      </w:r>
      <w:proofErr w:type="gramStart"/>
      <w:r w:rsidR="00D778D1" w:rsidRPr="00B60B17">
        <w:t>выпуска,  контролирующих</w:t>
      </w:r>
      <w:proofErr w:type="gramEnd"/>
      <w:r w:rsidR="00D778D1" w:rsidRPr="00B60B17">
        <w:t xml:space="preserve"> переменных; альтернативных спецификаций</w:t>
      </w:r>
      <w:r w:rsidR="00C64794">
        <w:t xml:space="preserve"> и </w:t>
      </w:r>
      <w:proofErr w:type="spellStart"/>
      <w:r w:rsidR="00C64794">
        <w:t>подвыборок</w:t>
      </w:r>
      <w:proofErr w:type="spellEnd"/>
      <w:r w:rsidR="00D778D1" w:rsidRPr="00B60B17">
        <w:t>, методов кросс-</w:t>
      </w:r>
      <w:proofErr w:type="spellStart"/>
      <w:r w:rsidR="00D778D1" w:rsidRPr="00B60B17">
        <w:t>валидации</w:t>
      </w:r>
      <w:proofErr w:type="spellEnd"/>
      <w:r w:rsidR="00D778D1" w:rsidRPr="00B60B17">
        <w:t xml:space="preserve">, а также </w:t>
      </w:r>
      <w:r w:rsidRPr="00B60B17">
        <w:t xml:space="preserve">сравнения </w:t>
      </w:r>
      <w:r w:rsidR="00D778D1" w:rsidRPr="00B60B17">
        <w:t xml:space="preserve">методологии и </w:t>
      </w:r>
      <w:r w:rsidRPr="00B60B17">
        <w:t>результатов исследований, проведенных для</w:t>
      </w:r>
      <w:r w:rsidR="00C64794">
        <w:t xml:space="preserve"> различных </w:t>
      </w:r>
      <w:r w:rsidRPr="00B60B17">
        <w:t xml:space="preserve">стран. </w:t>
      </w:r>
    </w:p>
    <w:p w:rsidR="009F62CD" w:rsidRPr="00B60B17" w:rsidRDefault="009F62CD" w:rsidP="00B60B17">
      <w:pPr>
        <w:spacing w:line="360" w:lineRule="auto"/>
        <w:ind w:firstLine="708"/>
        <w:jc w:val="center"/>
        <w:rPr>
          <w:b/>
        </w:rPr>
      </w:pPr>
      <w:r w:rsidRPr="00B60B17">
        <w:rPr>
          <w:b/>
        </w:rPr>
        <w:t>Структура работы</w:t>
      </w:r>
    </w:p>
    <w:p w:rsidR="000550B8" w:rsidRPr="00B60B17" w:rsidRDefault="0023491C" w:rsidP="00B60B17">
      <w:pPr>
        <w:spacing w:line="360" w:lineRule="auto"/>
        <w:ind w:firstLine="708"/>
        <w:jc w:val="both"/>
      </w:pPr>
      <w:r w:rsidRPr="00B60B17">
        <w:t>Диссертационная работа</w:t>
      </w:r>
      <w:r w:rsidR="009F62CD" w:rsidRPr="00B60B17">
        <w:t xml:space="preserve"> </w:t>
      </w:r>
      <w:r w:rsidR="000550B8" w:rsidRPr="00B60B17">
        <w:t>является обобщение</w:t>
      </w:r>
      <w:r w:rsidR="00B11F52" w:rsidRPr="00B60B17">
        <w:t>м</w:t>
      </w:r>
      <w:r w:rsidR="000550B8" w:rsidRPr="00B60B17">
        <w:t xml:space="preserve"> научных результатов, полученных автором в </w:t>
      </w:r>
      <w:r w:rsidR="008A09DC" w:rsidRPr="00B60B17">
        <w:t>200</w:t>
      </w:r>
      <w:r w:rsidR="00CD2F41" w:rsidRPr="00B60B17">
        <w:t>6</w:t>
      </w:r>
      <w:r w:rsidR="00B76913" w:rsidRPr="00B60B17">
        <w:t xml:space="preserve">-2021 гг. в </w:t>
      </w:r>
      <w:r w:rsidR="000550B8" w:rsidRPr="00B60B17">
        <w:t>рамках применения следующих групп экономико</w:t>
      </w:r>
      <w:r w:rsidR="00B76913" w:rsidRPr="00B60B17">
        <w:t>-математических</w:t>
      </w:r>
      <w:r w:rsidR="000550B8" w:rsidRPr="00B60B17">
        <w:t xml:space="preserve"> методов:</w:t>
      </w:r>
    </w:p>
    <w:p w:rsidR="0060733F" w:rsidRPr="00B60B17" w:rsidRDefault="0060733F" w:rsidP="00B60B17">
      <w:pPr>
        <w:pStyle w:val="ListParagraph"/>
        <w:numPr>
          <w:ilvl w:val="0"/>
          <w:numId w:val="14"/>
        </w:numPr>
        <w:spacing w:line="360" w:lineRule="auto"/>
        <w:jc w:val="both"/>
      </w:pPr>
      <w:r w:rsidRPr="00B60B17">
        <w:t xml:space="preserve">Модели с </w:t>
      </w:r>
      <w:proofErr w:type="spellStart"/>
      <w:r w:rsidRPr="00B60B17">
        <w:t>латетными</w:t>
      </w:r>
      <w:proofErr w:type="spellEnd"/>
      <w:r w:rsidRPr="00B60B17">
        <w:t xml:space="preserve"> классами</w:t>
      </w:r>
      <w:r w:rsidR="00EC558B" w:rsidRPr="00B60B17">
        <w:t xml:space="preserve"> </w:t>
      </w:r>
      <w:r w:rsidR="00C64794">
        <w:t>(</w:t>
      </w:r>
      <w:r w:rsidR="00C64794">
        <w:rPr>
          <w:lang w:val="en-US"/>
        </w:rPr>
        <w:t>finite</w:t>
      </w:r>
      <w:r w:rsidR="00C64794" w:rsidRPr="00C64794">
        <w:t xml:space="preserve"> </w:t>
      </w:r>
      <w:r w:rsidR="00C64794">
        <w:rPr>
          <w:lang w:val="en-US"/>
        </w:rPr>
        <w:t>mixture</w:t>
      </w:r>
      <w:r w:rsidR="00C64794" w:rsidRPr="00C64794">
        <w:t xml:space="preserve"> </w:t>
      </w:r>
      <w:r w:rsidR="00C64794">
        <w:rPr>
          <w:lang w:val="en-US"/>
        </w:rPr>
        <w:t>models</w:t>
      </w:r>
      <w:r w:rsidR="00C64794" w:rsidRPr="00C64794">
        <w:rPr>
          <w:rFonts w:eastAsiaTheme="minorEastAsia"/>
          <w:lang w:eastAsia="ja-JP"/>
        </w:rPr>
        <w:t xml:space="preserve">) </w:t>
      </w:r>
      <w:r w:rsidR="00EC558B" w:rsidRPr="00B60B17">
        <w:t>в рамках параметрического анализа границы (</w:t>
      </w:r>
      <w:proofErr w:type="spellStart"/>
      <w:r w:rsidR="00EC558B" w:rsidRPr="00B60B17">
        <w:rPr>
          <w:rFonts w:eastAsiaTheme="minorEastAsia"/>
          <w:lang w:eastAsia="ja-JP"/>
        </w:rPr>
        <w:t>stochastic</w:t>
      </w:r>
      <w:proofErr w:type="spellEnd"/>
      <w:r w:rsidR="00EC558B" w:rsidRPr="00B60B17">
        <w:rPr>
          <w:rFonts w:eastAsiaTheme="minorEastAsia"/>
          <w:lang w:eastAsia="ja-JP"/>
        </w:rPr>
        <w:t xml:space="preserve"> </w:t>
      </w:r>
      <w:proofErr w:type="spellStart"/>
      <w:r w:rsidR="00EC558B" w:rsidRPr="00B60B17">
        <w:rPr>
          <w:rFonts w:eastAsiaTheme="minorEastAsia"/>
          <w:lang w:eastAsia="ja-JP"/>
        </w:rPr>
        <w:t>frontier</w:t>
      </w:r>
      <w:proofErr w:type="spellEnd"/>
      <w:r w:rsidR="00EC558B" w:rsidRPr="00B60B17">
        <w:rPr>
          <w:rFonts w:eastAsiaTheme="minorEastAsia"/>
          <w:lang w:eastAsia="ja-JP"/>
        </w:rPr>
        <w:t xml:space="preserve"> </w:t>
      </w:r>
      <w:proofErr w:type="spellStart"/>
      <w:r w:rsidR="00EC558B" w:rsidRPr="00B60B17">
        <w:rPr>
          <w:rFonts w:eastAsiaTheme="minorEastAsia"/>
          <w:lang w:eastAsia="ja-JP"/>
        </w:rPr>
        <w:t>analysis</w:t>
      </w:r>
      <w:proofErr w:type="spellEnd"/>
      <w:r w:rsidR="00EC558B" w:rsidRPr="00B60B17">
        <w:rPr>
          <w:rFonts w:eastAsiaTheme="minorEastAsia"/>
          <w:lang w:eastAsia="ja-JP"/>
        </w:rPr>
        <w:t>)</w:t>
      </w:r>
      <w:r w:rsidR="00EC558B" w:rsidRPr="00B60B17">
        <w:t>, обобщенных линейных моделей (</w:t>
      </w:r>
      <w:proofErr w:type="spellStart"/>
      <w:r w:rsidR="00EC558B" w:rsidRPr="00B60B17">
        <w:t>generalized</w:t>
      </w:r>
      <w:proofErr w:type="spellEnd"/>
      <w:r w:rsidR="00EC558B" w:rsidRPr="00B60B17">
        <w:t xml:space="preserve"> </w:t>
      </w:r>
      <w:proofErr w:type="spellStart"/>
      <w:r w:rsidR="00EC558B" w:rsidRPr="00B60B17">
        <w:t>linear</w:t>
      </w:r>
      <w:proofErr w:type="spellEnd"/>
      <w:r w:rsidR="00EC558B" w:rsidRPr="00B60B17">
        <w:t xml:space="preserve"> </w:t>
      </w:r>
      <w:proofErr w:type="spellStart"/>
      <w:r w:rsidR="00EC558B" w:rsidRPr="00B60B17">
        <w:t>models</w:t>
      </w:r>
      <w:proofErr w:type="spellEnd"/>
      <w:r w:rsidR="00EC558B" w:rsidRPr="00B60B17">
        <w:t>), моделей бинарного выбора</w:t>
      </w:r>
      <w:r w:rsidRPr="00B60B17">
        <w:t>.</w:t>
      </w:r>
    </w:p>
    <w:p w:rsidR="005D3E4F" w:rsidRPr="00B60B17" w:rsidRDefault="005D3E4F" w:rsidP="00B60B17">
      <w:pPr>
        <w:pStyle w:val="ListParagraph"/>
        <w:numPr>
          <w:ilvl w:val="0"/>
          <w:numId w:val="14"/>
        </w:numPr>
        <w:spacing w:line="360" w:lineRule="auto"/>
        <w:jc w:val="both"/>
      </w:pPr>
      <w:proofErr w:type="spellStart"/>
      <w:r w:rsidRPr="00B60B17">
        <w:t>Квантильные</w:t>
      </w:r>
      <w:proofErr w:type="spellEnd"/>
      <w:r w:rsidRPr="00B60B17">
        <w:t xml:space="preserve"> регрессии.</w:t>
      </w:r>
    </w:p>
    <w:p w:rsidR="005D3E4F" w:rsidRPr="00B60B17" w:rsidRDefault="005D3E4F" w:rsidP="00B60B17">
      <w:pPr>
        <w:pStyle w:val="ListParagraph"/>
        <w:numPr>
          <w:ilvl w:val="0"/>
          <w:numId w:val="14"/>
        </w:numPr>
        <w:spacing w:line="360" w:lineRule="auto"/>
        <w:jc w:val="both"/>
      </w:pPr>
      <w:r w:rsidRPr="00B60B17">
        <w:t>Непараметрич</w:t>
      </w:r>
      <w:r w:rsidR="00EC558B" w:rsidRPr="00B60B17">
        <w:t>еские модели: ядерные регрессии;</w:t>
      </w:r>
      <w:r w:rsidRPr="00B60B17">
        <w:t xml:space="preserve"> непараметрический анализ границы</w:t>
      </w:r>
      <w:r w:rsidR="00EC558B" w:rsidRPr="00B60B17">
        <w:t xml:space="preserve"> (</w:t>
      </w:r>
      <w:r w:rsidR="00EC558B" w:rsidRPr="00B60B17">
        <w:rPr>
          <w:rFonts w:eastAsiaTheme="minorEastAsia"/>
          <w:lang w:val="en-US" w:eastAsia="ja-JP"/>
        </w:rPr>
        <w:t>data</w:t>
      </w:r>
      <w:r w:rsidR="00EC558B" w:rsidRPr="00B60B17">
        <w:rPr>
          <w:rFonts w:eastAsiaTheme="minorEastAsia"/>
          <w:lang w:eastAsia="ja-JP"/>
        </w:rPr>
        <w:t xml:space="preserve"> </w:t>
      </w:r>
      <w:r w:rsidR="00EC558B" w:rsidRPr="00B60B17">
        <w:rPr>
          <w:rFonts w:eastAsiaTheme="minorEastAsia"/>
          <w:lang w:val="en-US" w:eastAsia="ja-JP"/>
        </w:rPr>
        <w:t>envelopment</w:t>
      </w:r>
      <w:r w:rsidR="00EC558B" w:rsidRPr="00B60B17">
        <w:rPr>
          <w:rFonts w:eastAsiaTheme="minorEastAsia"/>
          <w:lang w:eastAsia="ja-JP"/>
        </w:rPr>
        <w:t xml:space="preserve"> </w:t>
      </w:r>
      <w:r w:rsidR="00EC558B" w:rsidRPr="00B60B17">
        <w:rPr>
          <w:rFonts w:eastAsiaTheme="minorEastAsia"/>
          <w:lang w:val="en-US" w:eastAsia="ja-JP"/>
        </w:rPr>
        <w:t>analysis</w:t>
      </w:r>
      <w:r w:rsidR="00EC558B" w:rsidRPr="00B60B17">
        <w:rPr>
          <w:rFonts w:eastAsiaTheme="minorEastAsia"/>
          <w:lang w:eastAsia="ja-JP"/>
        </w:rPr>
        <w:t>) и корректировка смещения в случае ценовой и технической эффективности</w:t>
      </w:r>
      <w:r w:rsidR="00C64794">
        <w:t xml:space="preserve"> при непараметрическом анализе границы.</w:t>
      </w:r>
    </w:p>
    <w:p w:rsidR="004F2CBC" w:rsidRPr="00B60B17" w:rsidRDefault="00EC558B" w:rsidP="00B60B17">
      <w:pPr>
        <w:pStyle w:val="ListParagraph"/>
        <w:numPr>
          <w:ilvl w:val="0"/>
          <w:numId w:val="14"/>
        </w:numPr>
        <w:spacing w:line="360" w:lineRule="auto"/>
        <w:jc w:val="both"/>
      </w:pPr>
      <w:r w:rsidRPr="00B60B17">
        <w:lastRenderedPageBreak/>
        <w:t xml:space="preserve">Оценивание условного и безусловного </w:t>
      </w:r>
      <w:r w:rsidR="004F2CBC" w:rsidRPr="00B60B17">
        <w:t>эффект</w:t>
      </w:r>
      <w:r w:rsidRPr="00B60B17">
        <w:t>а</w:t>
      </w:r>
      <w:r w:rsidR="004F2CBC" w:rsidRPr="00B60B17">
        <w:t xml:space="preserve"> воздействия</w:t>
      </w:r>
      <w:r w:rsidRPr="00B60B17">
        <w:t xml:space="preserve">, </w:t>
      </w:r>
      <w:proofErr w:type="spellStart"/>
      <w:r w:rsidRPr="00B60B17">
        <w:t>мэтчинг</w:t>
      </w:r>
      <w:proofErr w:type="spellEnd"/>
      <w:r w:rsidRPr="00B60B17">
        <w:t xml:space="preserve"> и </w:t>
      </w:r>
      <w:proofErr w:type="spellStart"/>
      <w:r w:rsidRPr="00B60B17">
        <w:t>импутации</w:t>
      </w:r>
      <w:proofErr w:type="spellEnd"/>
      <w:r w:rsidR="004F2CBC" w:rsidRPr="00B60B17">
        <w:t>.</w:t>
      </w:r>
    </w:p>
    <w:p w:rsidR="004F2CBC" w:rsidRPr="00B60B17" w:rsidRDefault="00E06A12" w:rsidP="00B60B17">
      <w:pPr>
        <w:pStyle w:val="ListParagraph"/>
        <w:numPr>
          <w:ilvl w:val="0"/>
          <w:numId w:val="14"/>
        </w:numPr>
        <w:spacing w:line="360" w:lineRule="auto"/>
        <w:jc w:val="both"/>
      </w:pPr>
      <w:r w:rsidRPr="00B60B17">
        <w:t>Динамические панели.</w:t>
      </w:r>
    </w:p>
    <w:p w:rsidR="00EC558B" w:rsidRPr="00B60B17" w:rsidRDefault="00EC558B" w:rsidP="00B60B17">
      <w:pPr>
        <w:pStyle w:val="ListParagraph"/>
        <w:numPr>
          <w:ilvl w:val="0"/>
          <w:numId w:val="14"/>
        </w:numPr>
        <w:spacing w:line="360" w:lineRule="auto"/>
        <w:jc w:val="both"/>
      </w:pPr>
      <w:r w:rsidRPr="00B60B17">
        <w:t>Методы описательного и корреляционного анализа</w:t>
      </w:r>
      <w:r w:rsidR="00E06A12" w:rsidRPr="00B60B17">
        <w:t>.</w:t>
      </w:r>
    </w:p>
    <w:p w:rsidR="0023491C" w:rsidRPr="00B60B17" w:rsidRDefault="0023491C" w:rsidP="00B60B17">
      <w:pPr>
        <w:spacing w:line="360" w:lineRule="auto"/>
        <w:ind w:firstLine="708"/>
        <w:jc w:val="both"/>
        <w:rPr>
          <w:b/>
        </w:rPr>
      </w:pPr>
    </w:p>
    <w:p w:rsidR="00B76913" w:rsidRPr="00B60B17" w:rsidRDefault="00822D20" w:rsidP="00B60B17">
      <w:pPr>
        <w:pStyle w:val="ListParagraph"/>
        <w:numPr>
          <w:ilvl w:val="0"/>
          <w:numId w:val="16"/>
        </w:numPr>
        <w:spacing w:line="360" w:lineRule="auto"/>
        <w:jc w:val="both"/>
        <w:rPr>
          <w:b/>
        </w:rPr>
      </w:pPr>
      <w:r w:rsidRPr="00B60B17">
        <w:rPr>
          <w:b/>
        </w:rPr>
        <w:t>Моде</w:t>
      </w:r>
      <w:r w:rsidR="005D3E4F" w:rsidRPr="00B60B17">
        <w:rPr>
          <w:b/>
        </w:rPr>
        <w:t>ли с латентными</w:t>
      </w:r>
      <w:r w:rsidR="0060733F" w:rsidRPr="00B60B17">
        <w:rPr>
          <w:b/>
        </w:rPr>
        <w:t xml:space="preserve"> класс</w:t>
      </w:r>
      <w:r w:rsidR="005D3E4F" w:rsidRPr="00B60B17">
        <w:rPr>
          <w:b/>
        </w:rPr>
        <w:t>ами</w:t>
      </w:r>
      <w:r w:rsidR="00917596" w:rsidRPr="00B60B17">
        <w:rPr>
          <w:b/>
        </w:rPr>
        <w:t xml:space="preserve"> (смесь конечного числа распределений, </w:t>
      </w:r>
      <w:r w:rsidR="00917596" w:rsidRPr="00B60B17">
        <w:rPr>
          <w:rFonts w:eastAsiaTheme="minorEastAsia"/>
          <w:b/>
          <w:lang w:val="en-US" w:eastAsia="ja-JP"/>
        </w:rPr>
        <w:t>finite</w:t>
      </w:r>
      <w:r w:rsidR="00917596" w:rsidRPr="00B60B17">
        <w:rPr>
          <w:rFonts w:eastAsiaTheme="minorEastAsia"/>
          <w:b/>
          <w:lang w:eastAsia="ja-JP"/>
        </w:rPr>
        <w:t xml:space="preserve"> </w:t>
      </w:r>
      <w:r w:rsidR="00917596" w:rsidRPr="00B60B17">
        <w:rPr>
          <w:rFonts w:eastAsiaTheme="minorEastAsia"/>
          <w:b/>
          <w:lang w:val="en-US" w:eastAsia="ja-JP"/>
        </w:rPr>
        <w:t>mixture</w:t>
      </w:r>
      <w:r w:rsidR="00917596" w:rsidRPr="00B60B17">
        <w:rPr>
          <w:rFonts w:eastAsiaTheme="minorEastAsia"/>
          <w:b/>
          <w:lang w:eastAsia="ja-JP"/>
        </w:rPr>
        <w:t xml:space="preserve"> </w:t>
      </w:r>
      <w:r w:rsidR="00917596" w:rsidRPr="00B60B17">
        <w:rPr>
          <w:rFonts w:eastAsiaTheme="minorEastAsia"/>
          <w:b/>
          <w:lang w:val="en-US" w:eastAsia="ja-JP"/>
        </w:rPr>
        <w:t>models</w:t>
      </w:r>
      <w:r w:rsidR="00917596" w:rsidRPr="00B60B17">
        <w:rPr>
          <w:rFonts w:eastAsiaTheme="minorEastAsia"/>
          <w:b/>
          <w:lang w:eastAsia="ja-JP"/>
        </w:rPr>
        <w:t>)</w:t>
      </w:r>
    </w:p>
    <w:p w:rsidR="00C97A49" w:rsidRPr="00B60B17" w:rsidRDefault="000A461E" w:rsidP="00B60B17">
      <w:pPr>
        <w:spacing w:line="360" w:lineRule="auto"/>
        <w:ind w:firstLine="708"/>
        <w:jc w:val="both"/>
      </w:pPr>
      <w:r w:rsidRPr="00B60B17">
        <w:t xml:space="preserve">Метод связан с расщеплением смеси конечного числа распределений и в общем виде может быть сформулирован следующим образом. </w:t>
      </w:r>
      <w:r w:rsidR="00917596" w:rsidRPr="00B60B17">
        <w:t>З</w:t>
      </w:r>
      <w:r w:rsidR="00AB139A" w:rsidRPr="00B60B17">
        <w:t xml:space="preserve">ависимая переменная </w:t>
      </w:r>
      <m:oMath>
        <m:sSub>
          <m:sSubPr>
            <m:ctrlPr>
              <w:rPr>
                <w:rFonts w:ascii="Cambria Math" w:hAnsi="Cambria Math"/>
              </w:rPr>
            </m:ctrlPr>
          </m:sSubPr>
          <m:e>
            <m:r>
              <w:rPr>
                <w:rFonts w:ascii="Cambria Math" w:hAnsi="Cambria Math"/>
              </w:rPr>
              <m:t>y</m:t>
            </m:r>
          </m:e>
          <m:sub>
            <m:r>
              <w:rPr>
                <w:rFonts w:ascii="Cambria Math" w:hAnsi="Cambria Math"/>
              </w:rPr>
              <m:t>it</m:t>
            </m:r>
          </m:sub>
        </m:sSub>
      </m:oMath>
      <w:r w:rsidR="00B11F52" w:rsidRPr="00B60B17">
        <w:t xml:space="preserve"> </w:t>
      </w:r>
      <w:r w:rsidR="00AB139A" w:rsidRPr="00B60B17">
        <w:t xml:space="preserve">наблюдается </w:t>
      </w:r>
      <w:r w:rsidR="00917596" w:rsidRPr="00B60B17">
        <w:t xml:space="preserve">для каждого индивида </w:t>
      </w:r>
      <m:oMath>
        <m:r>
          <w:rPr>
            <w:rFonts w:ascii="Cambria Math" w:hAnsi="Cambria Math"/>
          </w:rPr>
          <m:t>i</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N</m:t>
        </m:r>
      </m:oMath>
      <w:r w:rsidR="00917596" w:rsidRPr="00B60B17">
        <w:t xml:space="preserve"> </w:t>
      </w:r>
      <w:r w:rsidR="00AB139A" w:rsidRPr="00B60B17">
        <w:t xml:space="preserve">в течение временных периодов </w:t>
      </w:r>
      <m:oMath>
        <m:r>
          <w:rPr>
            <w:rFonts w:ascii="Cambria Math" w:hAnsi="Cambria Math"/>
          </w:rPr>
          <m:t>t</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T</m:t>
        </m:r>
      </m:oMath>
      <w:r w:rsidR="00B11F52" w:rsidRPr="00B60B17">
        <w:t xml:space="preserve">. </w:t>
      </w:r>
      <w:r w:rsidR="00AB139A" w:rsidRPr="00B60B17">
        <w:t xml:space="preserve">Наблюдения </w:t>
      </w:r>
      <m:oMath>
        <m:sSub>
          <m:sSubPr>
            <m:ctrlPr>
              <w:rPr>
                <w:rFonts w:ascii="Cambria Math" w:hAnsi="Cambria Math"/>
              </w:rPr>
            </m:ctrlPr>
          </m:sSubPr>
          <m:e>
            <m:r>
              <w:rPr>
                <w:rFonts w:ascii="Cambria Math" w:hAnsi="Cambria Math"/>
              </w:rPr>
              <m:t>y</m:t>
            </m:r>
          </m:e>
          <m:sub>
            <m:r>
              <w:rPr>
                <w:rFonts w:ascii="Cambria Math" w:hAnsi="Cambria Math"/>
              </w:rPr>
              <m:t>it</m:t>
            </m:r>
          </m:sub>
        </m:sSub>
      </m:oMath>
      <w:r w:rsidR="00C97A49" w:rsidRPr="00B60B17">
        <w:rPr>
          <w:rFonts w:eastAsiaTheme="minorEastAsia"/>
        </w:rPr>
        <w:t xml:space="preserve"> </w:t>
      </w:r>
      <w:r w:rsidR="00AB139A" w:rsidRPr="00B60B17">
        <w:t xml:space="preserve">берутся из смеси из </w:t>
      </w:r>
      <m:oMath>
        <m:r>
          <w:rPr>
            <w:rFonts w:ascii="Cambria Math" w:hAnsi="Cambria Math"/>
          </w:rPr>
          <m:t>C</m:t>
        </m:r>
      </m:oMath>
      <w:r w:rsidR="00B11F52" w:rsidRPr="00B60B17">
        <w:t xml:space="preserve"> </w:t>
      </w:r>
      <w:r w:rsidR="00AB139A" w:rsidRPr="00B60B17">
        <w:t xml:space="preserve">ненаблюдаемых классов </w:t>
      </w:r>
      <w:r w:rsidR="00B11F52" w:rsidRPr="00B60B17">
        <w:t>(</w:t>
      </w:r>
      <w:proofErr w:type="spellStart"/>
      <w:r w:rsidR="00AB139A" w:rsidRPr="00B60B17">
        <w:t>субпопуляций</w:t>
      </w:r>
      <w:proofErr w:type="spellEnd"/>
      <w:r w:rsidR="00B11F52" w:rsidRPr="00B60B17">
        <w:t xml:space="preserve">) </w:t>
      </w:r>
      <w:r w:rsidR="00AB139A" w:rsidRPr="00B60B17">
        <w:t>в неизвестных про</w:t>
      </w:r>
      <w:r w:rsidR="001D2EA6" w:rsidRPr="00B60B17">
        <w:t>по</w:t>
      </w:r>
      <w:r w:rsidR="00AB139A" w:rsidRPr="00B60B17">
        <w:t>рциях</w:t>
      </w:r>
      <w:r w:rsidR="00C97A49" w:rsidRPr="00B60B17">
        <w:t xml:space="preserve">. </w:t>
      </w:r>
      <w:r w:rsidR="00AB139A" w:rsidRPr="00B60B17">
        <w:t xml:space="preserve"> </w:t>
      </w:r>
      <w:r w:rsidR="00C97A49" w:rsidRPr="00B60B17">
        <w:t xml:space="preserve">Эти пропорции </w:t>
      </w:r>
      <m:oMath>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rPr>
          <m:t>&gt;</m:t>
        </m:r>
        <m:r>
          <w:rPr>
            <w:rFonts w:ascii="Cambria Math" w:hAnsi="Cambria Math"/>
          </w:rPr>
          <m:t>0</m:t>
        </m:r>
      </m:oMath>
      <w:r w:rsidR="00C97A49" w:rsidRPr="00B60B17">
        <w:t xml:space="preserve">, называются </w:t>
      </w:r>
      <w:r w:rsidR="00AB139A" w:rsidRPr="00B60B17">
        <w:t>априорны</w:t>
      </w:r>
      <w:r w:rsidR="00C97A49" w:rsidRPr="00B60B17">
        <w:t>ми</w:t>
      </w:r>
      <w:r w:rsidR="00AB139A" w:rsidRPr="00B60B17">
        <w:t xml:space="preserve"> вероятности принадлежности к классу </w:t>
      </w:r>
      <m:oMath>
        <m:r>
          <w:rPr>
            <w:rFonts w:ascii="Cambria Math" w:hAnsi="Cambria Math"/>
          </w:rPr>
          <m:t>j</m:t>
        </m:r>
      </m:oMath>
      <w:r w:rsidR="00C97A49" w:rsidRPr="00B60B17">
        <w:rPr>
          <w:rFonts w:eastAsiaTheme="minorEastAsia"/>
        </w:rPr>
        <w:t>, где</w:t>
      </w:r>
      <w:r w:rsidR="00B11F52" w:rsidRPr="00B60B17">
        <w:t xml:space="preserve"> </w:t>
      </w:r>
      <m:oMath>
        <m:r>
          <w:rPr>
            <w:rFonts w:ascii="Cambria Math" w:hAnsi="Cambria Math"/>
          </w:rPr>
          <m:t>j</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C</m:t>
        </m:r>
      </m:oMath>
      <w:r w:rsidR="00B11F52" w:rsidRPr="00B60B17">
        <w:t xml:space="preserve">, </w:t>
      </w:r>
      <w:r w:rsidR="00C97A49" w:rsidRPr="00B60B17">
        <w:t>а сумма априорных вероятностей равна единице</w:t>
      </w:r>
      <w:r w:rsidR="00AB139A" w:rsidRPr="00B60B17">
        <w:t xml:space="preserve"> </w:t>
      </w:r>
      <w:r w:rsidR="00B11F52" w:rsidRPr="00B60B17">
        <w:t xml:space="preserve"> </w:t>
      </w:r>
      <m:oMath>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1</m:t>
            </m:r>
          </m:sub>
          <m:sup>
            <m:r>
              <w:rPr>
                <w:rFonts w:ascii="Cambria Math" w:hAnsi="Cambria Math"/>
              </w:rPr>
              <m:t>C</m:t>
            </m:r>
          </m:sup>
          <m:e>
            <m:sSub>
              <m:sSubPr>
                <m:ctrlPr>
                  <w:rPr>
                    <w:rFonts w:ascii="Cambria Math" w:hAnsi="Cambria Math"/>
                  </w:rPr>
                </m:ctrlPr>
              </m:sSubPr>
              <m:e>
                <m:r>
                  <w:rPr>
                    <w:rFonts w:ascii="Cambria Math" w:hAnsi="Cambria Math"/>
                  </w:rPr>
                  <m:t>π</m:t>
                </m:r>
              </m:e>
              <m:sub>
                <m:r>
                  <w:rPr>
                    <w:rFonts w:ascii="Cambria Math" w:hAnsi="Cambria Math"/>
                  </w:rPr>
                  <m:t>j</m:t>
                </m:r>
              </m:sub>
            </m:sSub>
          </m:e>
        </m:nary>
        <m:r>
          <m:rPr>
            <m:sty m:val="p"/>
          </m:rPr>
          <w:rPr>
            <w:rFonts w:ascii="Cambria Math" w:hAnsi="Cambria Math"/>
          </w:rPr>
          <m:t>=</m:t>
        </m:r>
        <m:r>
          <w:rPr>
            <w:rFonts w:ascii="Cambria Math" w:hAnsi="Cambria Math"/>
          </w:rPr>
          <m:t>1</m:t>
        </m:r>
      </m:oMath>
      <w:r w:rsidR="00AB139A" w:rsidRPr="00B60B17">
        <w:t xml:space="preserve">. </w:t>
      </w:r>
    </w:p>
    <w:p w:rsidR="00C97A49" w:rsidRPr="00B60B17" w:rsidRDefault="00AB139A" w:rsidP="00B60B17">
      <w:pPr>
        <w:pStyle w:val="FirstParagraph"/>
        <w:spacing w:before="0" w:after="0" w:line="360" w:lineRule="auto"/>
        <w:ind w:firstLine="708"/>
        <w:jc w:val="both"/>
        <w:rPr>
          <w:rFonts w:ascii="Times New Roman" w:hAnsi="Times New Roman" w:cs="Times New Roman"/>
          <w:lang w:val="ru-RU"/>
        </w:rPr>
      </w:pPr>
      <w:r w:rsidRPr="00B60B17">
        <w:rPr>
          <w:rFonts w:ascii="Times New Roman" w:hAnsi="Times New Roman" w:cs="Times New Roman"/>
          <w:lang w:val="ru-RU"/>
        </w:rPr>
        <w:t>Функция безусловной плотности зависимой переменной есть взвешенная сумма условных плотностей</w:t>
      </w:r>
      <w:r w:rsidR="00B11F52" w:rsidRPr="00B60B17">
        <w:rPr>
          <w:rFonts w:ascii="Times New Roman" w:hAnsi="Times New Roman" w:cs="Times New Roman"/>
          <w:lang w:val="ru-RU"/>
        </w:rPr>
        <w:t xml:space="preserve">: </w:t>
      </w:r>
      <m:oMath>
        <m:r>
          <w:rPr>
            <w:rFonts w:ascii="Cambria Math" w:hAnsi="Cambria Math" w:cs="Times New Roman"/>
          </w:rPr>
          <m:t>f</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r>
              <m:rPr>
                <m:sty m:val="p"/>
              </m:rPr>
              <w:rPr>
                <w:rFonts w:ascii="Cambria Math" w:hAnsi="Cambria Math" w:cs="Times New Roman"/>
                <w:lang w:val="ru-RU"/>
              </w:rPr>
              <m:t>|</m:t>
            </m:r>
            <m:r>
              <w:rPr>
                <w:rFonts w:ascii="Cambria Math" w:hAnsi="Cambria Math" w:cs="Times New Roman"/>
              </w:rPr>
              <m:t>π</m:t>
            </m:r>
            <m:r>
              <m:rPr>
                <m:sty m:val="p"/>
              </m:rPr>
              <w:rPr>
                <w:rFonts w:ascii="Cambria Math" w:hAnsi="Cambria Math" w:cs="Times New Roman"/>
                <w:lang w:val="ru-RU"/>
              </w:rPr>
              <m:t>,</m:t>
            </m:r>
            <m:r>
              <m:rPr>
                <m:sty m:val="b"/>
              </m:rPr>
              <w:rPr>
                <w:rFonts w:ascii="Cambria Math" w:hAnsi="Cambria Math" w:cs="Times New Roman"/>
              </w:rPr>
              <m:t>θ</m:t>
            </m:r>
          </m:e>
        </m:d>
        <m:r>
          <m:rPr>
            <m:sty m:val="p"/>
          </m:rPr>
          <w:rPr>
            <w:rFonts w:ascii="Cambria Math" w:hAnsi="Cambria Math" w:cs="Times New Roman"/>
            <w:lang w:val="ru-RU"/>
          </w:rPr>
          <m:t>=</m:t>
        </m:r>
        <m:nary>
          <m:naryPr>
            <m:chr m:val="∑"/>
            <m:limLoc m:val="undOvr"/>
            <m:ctrlPr>
              <w:rPr>
                <w:rFonts w:ascii="Cambria Math" w:hAnsi="Cambria Math" w:cs="Times New Roman"/>
              </w:rPr>
            </m:ctrlPr>
          </m:naryPr>
          <m:sub>
            <m:r>
              <w:rPr>
                <w:rFonts w:ascii="Cambria Math" w:hAnsi="Cambria Math" w:cs="Times New Roman"/>
              </w:rPr>
              <m:t>j</m:t>
            </m:r>
            <m:r>
              <m:rPr>
                <m:sty m:val="p"/>
              </m:rPr>
              <w:rPr>
                <w:rFonts w:ascii="Cambria Math" w:hAnsi="Cambria Math" w:cs="Times New Roman"/>
                <w:lang w:val="ru-RU"/>
              </w:rPr>
              <m:t>=</m:t>
            </m:r>
            <m:r>
              <w:rPr>
                <w:rFonts w:ascii="Cambria Math" w:hAnsi="Cambria Math" w:cs="Times New Roman"/>
                <w:lang w:val="ru-RU"/>
              </w:rPr>
              <m:t>1</m:t>
            </m:r>
          </m:sub>
          <m:sup>
            <m:r>
              <w:rPr>
                <w:rFonts w:ascii="Cambria Math" w:hAnsi="Cambria Math" w:cs="Times New Roman"/>
              </w:rPr>
              <m:t>C</m:t>
            </m:r>
          </m:sup>
          <m:e>
            <m:sSub>
              <m:sSubPr>
                <m:ctrlPr>
                  <w:rPr>
                    <w:rFonts w:ascii="Cambria Math" w:hAnsi="Cambria Math" w:cs="Times New Roman"/>
                  </w:rPr>
                </m:ctrlPr>
              </m:sSubPr>
              <m:e>
                <m:r>
                  <w:rPr>
                    <w:rFonts w:ascii="Cambria Math" w:hAnsi="Cambria Math" w:cs="Times New Roman"/>
                  </w:rPr>
                  <m:t>π</m:t>
                </m:r>
              </m:e>
              <m:sub>
                <m:r>
                  <w:rPr>
                    <w:rFonts w:ascii="Cambria Math" w:hAnsi="Cambria Math" w:cs="Times New Roman"/>
                  </w:rPr>
                  <m:t>j</m:t>
                </m:r>
              </m:sub>
            </m:sSub>
          </m:e>
        </m:nary>
        <m:r>
          <w:rPr>
            <w:rFonts w:ascii="Cambria Math" w:hAnsi="Cambria Math" w:cs="Times New Roman"/>
          </w:rPr>
          <m:t>f</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r>
              <m:rPr>
                <m:sty m:val="p"/>
              </m:rPr>
              <w:rPr>
                <w:rFonts w:ascii="Cambria Math" w:hAnsi="Cambria Math" w:cs="Times New Roman"/>
                <w:lang w:val="ru-RU"/>
              </w:rPr>
              <m:t>|</m:t>
            </m:r>
            <m:sSub>
              <m:sSubPr>
                <m:ctrlPr>
                  <w:rPr>
                    <w:rFonts w:ascii="Cambria Math" w:hAnsi="Cambria Math" w:cs="Times New Roman"/>
                  </w:rPr>
                </m:ctrlPr>
              </m:sSubPr>
              <m:e>
                <m:r>
                  <m:rPr>
                    <m:sty m:val="b"/>
                  </m:rPr>
                  <w:rPr>
                    <w:rFonts w:ascii="Cambria Math" w:hAnsi="Cambria Math" w:cs="Times New Roman"/>
                  </w:rPr>
                  <m:t>θ</m:t>
                </m:r>
              </m:e>
              <m:sub>
                <m:r>
                  <w:rPr>
                    <w:rFonts w:ascii="Cambria Math" w:hAnsi="Cambria Math" w:cs="Times New Roman"/>
                  </w:rPr>
                  <m:t>j</m:t>
                </m:r>
              </m:sub>
            </m:sSub>
          </m:e>
        </m:d>
      </m:oMath>
      <w:r w:rsidR="00B11F52" w:rsidRPr="00B60B17">
        <w:rPr>
          <w:rFonts w:ascii="Times New Roman" w:hAnsi="Times New Roman" w:cs="Times New Roman"/>
          <w:lang w:val="ru-RU"/>
        </w:rPr>
        <w:t xml:space="preserve">, </w:t>
      </w:r>
      <w:r w:rsidR="00C97A49" w:rsidRPr="00B60B17">
        <w:rPr>
          <w:rFonts w:ascii="Times New Roman" w:hAnsi="Times New Roman" w:cs="Times New Roman"/>
          <w:lang w:val="ru-RU"/>
        </w:rPr>
        <w:t xml:space="preserve">где </w:t>
      </w:r>
      <m:oMath>
        <m:sSub>
          <m:sSubPr>
            <m:ctrlPr>
              <w:rPr>
                <w:rFonts w:ascii="Cambria Math" w:hAnsi="Cambria Math" w:cs="Times New Roman"/>
              </w:rPr>
            </m:ctrlPr>
          </m:sSubPr>
          <m:e>
            <m:r>
              <m:rPr>
                <m:sty m:val="b"/>
              </m:rPr>
              <w:rPr>
                <w:rFonts w:ascii="Cambria Math" w:hAnsi="Cambria Math" w:cs="Times New Roman"/>
              </w:rPr>
              <m:t>θ</m:t>
            </m:r>
          </m:e>
          <m:sub>
            <m:r>
              <w:rPr>
                <w:rFonts w:ascii="Cambria Math" w:hAnsi="Cambria Math" w:cs="Times New Roman"/>
              </w:rPr>
              <m:t>j</m:t>
            </m:r>
          </m:sub>
        </m:sSub>
      </m:oMath>
      <w:r w:rsidR="00B11F52" w:rsidRPr="00B60B17">
        <w:rPr>
          <w:rFonts w:ascii="Times New Roman" w:hAnsi="Times New Roman" w:cs="Times New Roman"/>
          <w:lang w:val="ru-RU"/>
        </w:rPr>
        <w:t xml:space="preserve"> </w:t>
      </w:r>
      <w:r w:rsidR="00C97A49" w:rsidRPr="00B60B17">
        <w:rPr>
          <w:rFonts w:ascii="Times New Roman" w:hAnsi="Times New Roman" w:cs="Times New Roman"/>
          <w:lang w:val="ru-RU"/>
        </w:rPr>
        <w:t xml:space="preserve">это вектор </w:t>
      </w:r>
      <w:r w:rsidR="00C64794" w:rsidRPr="00B60B17">
        <w:rPr>
          <w:rFonts w:ascii="Times New Roman" w:hAnsi="Times New Roman" w:cs="Times New Roman"/>
          <w:lang w:val="ru-RU"/>
        </w:rPr>
        <w:t>неизвестных</w:t>
      </w:r>
      <w:r w:rsidR="00C97A49" w:rsidRPr="00B60B17">
        <w:rPr>
          <w:rFonts w:ascii="Times New Roman" w:hAnsi="Times New Roman" w:cs="Times New Roman"/>
          <w:lang w:val="ru-RU"/>
        </w:rPr>
        <w:t xml:space="preserve"> параметров</w:t>
      </w:r>
      <w:r w:rsidR="00B11F52" w:rsidRPr="00B60B17">
        <w:rPr>
          <w:rFonts w:ascii="Times New Roman" w:hAnsi="Times New Roman" w:cs="Times New Roman"/>
          <w:lang w:val="ru-RU"/>
        </w:rPr>
        <w:t xml:space="preserve">. </w:t>
      </w:r>
    </w:p>
    <w:p w:rsidR="00B11F52" w:rsidRPr="00B60B17" w:rsidRDefault="00C97A49" w:rsidP="00B60B17">
      <w:pPr>
        <w:pStyle w:val="FirstParagraph"/>
        <w:spacing w:before="0" w:after="0" w:line="360" w:lineRule="auto"/>
        <w:ind w:firstLine="708"/>
        <w:jc w:val="both"/>
        <w:rPr>
          <w:rFonts w:ascii="Times New Roman" w:hAnsi="Times New Roman" w:cs="Times New Roman"/>
          <w:lang w:val="ru-RU"/>
        </w:rPr>
      </w:pPr>
      <w:r w:rsidRPr="00B60B17">
        <w:rPr>
          <w:rFonts w:ascii="Times New Roman" w:hAnsi="Times New Roman" w:cs="Times New Roman"/>
          <w:lang w:val="ru-RU"/>
        </w:rPr>
        <w:t xml:space="preserve">В рамках предположения о независимых повторных наблюдениях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it</m:t>
            </m:r>
          </m:sub>
        </m:sSub>
      </m:oMath>
      <w:r w:rsidR="00B11F52" w:rsidRPr="00B60B17">
        <w:rPr>
          <w:rFonts w:ascii="Times New Roman" w:hAnsi="Times New Roman" w:cs="Times New Roman"/>
          <w:lang w:val="ru-RU"/>
        </w:rPr>
        <w:t xml:space="preserve"> </w:t>
      </w:r>
      <w:r w:rsidRPr="00B60B17">
        <w:rPr>
          <w:rFonts w:ascii="Times New Roman" w:hAnsi="Times New Roman" w:cs="Times New Roman"/>
          <w:lang w:val="ru-RU"/>
        </w:rPr>
        <w:t xml:space="preserve">в течение анализируемого промежутка времени, совместная плотность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it</m:t>
            </m:r>
          </m:sub>
        </m:sSub>
      </m:oMath>
      <w:r w:rsidR="00B11F52" w:rsidRPr="00B60B17">
        <w:rPr>
          <w:rFonts w:ascii="Times New Roman" w:hAnsi="Times New Roman" w:cs="Times New Roman"/>
          <w:lang w:val="ru-RU"/>
        </w:rPr>
        <w:t xml:space="preserve"> </w:t>
      </w:r>
      <w:r w:rsidRPr="00B60B17">
        <w:rPr>
          <w:rFonts w:ascii="Times New Roman" w:hAnsi="Times New Roman" w:cs="Times New Roman"/>
          <w:lang w:val="ru-RU"/>
        </w:rPr>
        <w:t xml:space="preserve">для </w:t>
      </w:r>
      <m:oMath>
        <m:r>
          <w:rPr>
            <w:rFonts w:ascii="Cambria Math" w:hAnsi="Cambria Math" w:cs="Times New Roman"/>
          </w:rPr>
          <m:t>T</m:t>
        </m:r>
      </m:oMath>
      <w:r w:rsidR="00B11F52" w:rsidRPr="00B60B17">
        <w:rPr>
          <w:rFonts w:ascii="Times New Roman" w:hAnsi="Times New Roman" w:cs="Times New Roman"/>
          <w:lang w:val="ru-RU"/>
        </w:rPr>
        <w:t xml:space="preserve"> </w:t>
      </w:r>
      <w:r w:rsidRPr="00B60B17">
        <w:rPr>
          <w:rFonts w:ascii="Times New Roman" w:hAnsi="Times New Roman" w:cs="Times New Roman"/>
          <w:lang w:val="ru-RU"/>
        </w:rPr>
        <w:t>повторных наблюдений есть</w:t>
      </w:r>
      <w:r w:rsidR="00B11F52" w:rsidRPr="00B60B17">
        <w:rPr>
          <w:rFonts w:ascii="Times New Roman" w:hAnsi="Times New Roman" w:cs="Times New Roman"/>
          <w:lang w:val="ru-RU"/>
        </w:rPr>
        <w:t xml:space="preserve"> </w:t>
      </w:r>
      <w:r w:rsidR="001D2EA6" w:rsidRPr="00B60B17">
        <w:rPr>
          <w:rFonts w:ascii="Times New Roman" w:hAnsi="Times New Roman" w:cs="Times New Roman"/>
          <w:lang w:val="ru-RU"/>
        </w:rPr>
        <w:t xml:space="preserve">произведение условных плотностей </w:t>
      </w:r>
      <w:r w:rsidRPr="00B60B17">
        <w:rPr>
          <w:rFonts w:ascii="Times New Roman" w:hAnsi="Times New Roman" w:cs="Times New Roman"/>
          <w:lang w:val="ru-RU"/>
        </w:rPr>
        <w:t>в каждый период</w:t>
      </w:r>
      <w:r w:rsidR="00B11F52" w:rsidRPr="00B60B17">
        <w:rPr>
          <w:rFonts w:ascii="Times New Roman" w:hAnsi="Times New Roman" w:cs="Times New Roman"/>
          <w:lang w:val="ru-RU"/>
        </w:rPr>
        <w:t xml:space="preserve">: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j</m:t>
            </m:r>
          </m:sub>
        </m:sSub>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r>
              <m:rPr>
                <m:sty m:val="p"/>
              </m:rPr>
              <w:rPr>
                <w:rFonts w:ascii="Cambria Math" w:hAnsi="Cambria Math" w:cs="Times New Roman"/>
                <w:lang w:val="ru-RU"/>
              </w:rPr>
              <m:t>|</m:t>
            </m:r>
            <m:r>
              <m:rPr>
                <m:sty m:val="b"/>
              </m:rPr>
              <w:rPr>
                <w:rFonts w:ascii="Cambria Math" w:hAnsi="Cambria Math" w:cs="Times New Roman"/>
              </w:rPr>
              <m:t>θ</m:t>
            </m:r>
          </m:e>
        </m:d>
        <m:r>
          <m:rPr>
            <m:sty m:val="p"/>
          </m:rPr>
          <w:rPr>
            <w:rFonts w:ascii="Cambria Math" w:hAnsi="Cambria Math" w:cs="Times New Roman"/>
            <w:lang w:val="ru-RU"/>
          </w:rPr>
          <m:t>=</m:t>
        </m:r>
        <m:nary>
          <m:naryPr>
            <m:chr m:val="∏"/>
            <m:limLoc m:val="undOvr"/>
            <m:ctrlPr>
              <w:rPr>
                <w:rFonts w:ascii="Cambria Math" w:hAnsi="Cambria Math" w:cs="Times New Roman"/>
              </w:rPr>
            </m:ctrlPr>
          </m:naryPr>
          <m:sub>
            <m:r>
              <w:rPr>
                <w:rFonts w:ascii="Cambria Math" w:hAnsi="Cambria Math" w:cs="Times New Roman"/>
              </w:rPr>
              <m:t>t</m:t>
            </m:r>
            <m:r>
              <m:rPr>
                <m:sty m:val="p"/>
              </m:rPr>
              <w:rPr>
                <w:rFonts w:ascii="Cambria Math" w:hAnsi="Cambria Math" w:cs="Times New Roman"/>
                <w:lang w:val="ru-RU"/>
              </w:rPr>
              <m:t>=</m:t>
            </m:r>
            <m:r>
              <w:rPr>
                <w:rFonts w:ascii="Cambria Math" w:hAnsi="Cambria Math" w:cs="Times New Roman"/>
                <w:lang w:val="ru-RU"/>
              </w:rPr>
              <m:t>1</m:t>
            </m:r>
          </m:sub>
          <m:sup>
            <m:r>
              <w:rPr>
                <w:rFonts w:ascii="Cambria Math" w:hAnsi="Cambria Math" w:cs="Times New Roman"/>
              </w:rPr>
              <m:t>T</m:t>
            </m:r>
          </m:sup>
          <m:e>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j</m:t>
                </m:r>
              </m:sub>
            </m:sSub>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it</m:t>
                    </m:r>
                  </m:sub>
                </m:sSub>
                <m:r>
                  <m:rPr>
                    <m:sty m:val="p"/>
                  </m:rPr>
                  <w:rPr>
                    <w:rFonts w:ascii="Cambria Math" w:hAnsi="Cambria Math" w:cs="Times New Roman"/>
                    <w:lang w:val="ru-RU"/>
                  </w:rPr>
                  <m:t>|</m:t>
                </m:r>
                <m:sSub>
                  <m:sSubPr>
                    <m:ctrlPr>
                      <w:rPr>
                        <w:rFonts w:ascii="Cambria Math" w:hAnsi="Cambria Math" w:cs="Times New Roman"/>
                      </w:rPr>
                    </m:ctrlPr>
                  </m:sSubPr>
                  <m:e>
                    <m:r>
                      <m:rPr>
                        <m:sty m:val="b"/>
                      </m:rPr>
                      <w:rPr>
                        <w:rFonts w:ascii="Cambria Math" w:hAnsi="Cambria Math" w:cs="Times New Roman"/>
                      </w:rPr>
                      <m:t>θ</m:t>
                    </m:r>
                  </m:e>
                  <m:sub>
                    <m:r>
                      <w:rPr>
                        <w:rFonts w:ascii="Cambria Math" w:hAnsi="Cambria Math" w:cs="Times New Roman"/>
                      </w:rPr>
                      <m:t>jt</m:t>
                    </m:r>
                  </m:sub>
                </m:sSub>
              </m:e>
            </m:d>
          </m:e>
        </m:nary>
      </m:oMath>
      <w:r w:rsidRPr="00B60B17">
        <w:rPr>
          <w:rFonts w:ascii="Times New Roman" w:eastAsiaTheme="minorEastAsia" w:hAnsi="Times New Roman" w:cs="Times New Roman"/>
          <w:lang w:val="ru-RU"/>
        </w:rPr>
        <w:t xml:space="preserve">. При этом </w:t>
      </w:r>
      <w:r w:rsidR="00134766" w:rsidRPr="00B60B17">
        <w:rPr>
          <w:rFonts w:ascii="Times New Roman" w:eastAsiaTheme="minorEastAsia" w:hAnsi="Times New Roman" w:cs="Times New Roman"/>
          <w:lang w:val="ru-RU"/>
        </w:rPr>
        <w:t xml:space="preserve">при отсутствии наблюдений </w:t>
      </w:r>
      <w:r w:rsidR="00917596" w:rsidRPr="00B60B17">
        <w:rPr>
          <w:rFonts w:ascii="Times New Roman" w:hAnsi="Times New Roman" w:cs="Times New Roman"/>
          <w:lang w:val="ru-RU"/>
        </w:rPr>
        <w:t xml:space="preserve">в соответствующий период </w:t>
      </w:r>
      <w:r w:rsidR="00134766" w:rsidRPr="00B60B17">
        <w:rPr>
          <w:rFonts w:ascii="Times New Roman" w:hAnsi="Times New Roman" w:cs="Times New Roman"/>
          <w:lang w:val="ru-RU"/>
        </w:rPr>
        <w:t xml:space="preserve">значение условной </w:t>
      </w:r>
      <w:r w:rsidR="00917596" w:rsidRPr="00B60B17">
        <w:rPr>
          <w:rFonts w:ascii="Times New Roman" w:hAnsi="Times New Roman" w:cs="Times New Roman"/>
          <w:lang w:val="ru-RU"/>
        </w:rPr>
        <w:t xml:space="preserve">принимается равным единице </w:t>
      </w:r>
      <w:r w:rsidR="00B11F52" w:rsidRPr="00B60B17">
        <w:rPr>
          <w:rFonts w:ascii="Times New Roman" w:hAnsi="Times New Roman" w:cs="Times New Roman"/>
          <w:lang w:val="ru-RU"/>
        </w:rPr>
        <w:t>(</w:t>
      </w:r>
      <w:r w:rsidR="00B11F52" w:rsidRPr="00B60B17">
        <w:rPr>
          <w:rFonts w:ascii="Times New Roman" w:hAnsi="Times New Roman" w:cs="Times New Roman"/>
        </w:rPr>
        <w:t>Greene</w:t>
      </w:r>
      <w:r w:rsidR="00B11F52" w:rsidRPr="00B60B17">
        <w:rPr>
          <w:rFonts w:ascii="Times New Roman" w:hAnsi="Times New Roman" w:cs="Times New Roman"/>
          <w:lang w:val="ru-RU"/>
        </w:rPr>
        <w:t xml:space="preserve"> 2007; </w:t>
      </w:r>
      <w:r w:rsidR="00B11F52" w:rsidRPr="00B60B17">
        <w:rPr>
          <w:rFonts w:ascii="Times New Roman" w:hAnsi="Times New Roman" w:cs="Times New Roman"/>
        </w:rPr>
        <w:t>Wedel</w:t>
      </w:r>
      <w:r w:rsidR="00B11F52" w:rsidRPr="00B60B17">
        <w:rPr>
          <w:rFonts w:ascii="Times New Roman" w:hAnsi="Times New Roman" w:cs="Times New Roman"/>
          <w:lang w:val="ru-RU"/>
        </w:rPr>
        <w:t xml:space="preserve"> </w:t>
      </w:r>
      <w:r w:rsidR="00B11F52" w:rsidRPr="00B60B17">
        <w:rPr>
          <w:rFonts w:ascii="Times New Roman" w:hAnsi="Times New Roman" w:cs="Times New Roman"/>
        </w:rPr>
        <w:t>and</w:t>
      </w:r>
      <w:r w:rsidR="00B11F52" w:rsidRPr="00B60B17">
        <w:rPr>
          <w:rFonts w:ascii="Times New Roman" w:hAnsi="Times New Roman" w:cs="Times New Roman"/>
          <w:lang w:val="ru-RU"/>
        </w:rPr>
        <w:t xml:space="preserve"> </w:t>
      </w:r>
      <w:proofErr w:type="spellStart"/>
      <w:r w:rsidR="00B11F52" w:rsidRPr="00B60B17">
        <w:rPr>
          <w:rFonts w:ascii="Times New Roman" w:hAnsi="Times New Roman" w:cs="Times New Roman"/>
        </w:rPr>
        <w:t>DeSarbo</w:t>
      </w:r>
      <w:proofErr w:type="spellEnd"/>
      <w:r w:rsidR="00B11F52" w:rsidRPr="00B60B17">
        <w:rPr>
          <w:rFonts w:ascii="Times New Roman" w:hAnsi="Times New Roman" w:cs="Times New Roman"/>
          <w:lang w:val="ru-RU"/>
        </w:rPr>
        <w:t xml:space="preserve"> 2002). </w:t>
      </w:r>
      <w:r w:rsidR="00917596" w:rsidRPr="00B60B17">
        <w:rPr>
          <w:rFonts w:ascii="Times New Roman" w:hAnsi="Times New Roman" w:cs="Times New Roman"/>
          <w:lang w:val="ru-RU"/>
        </w:rPr>
        <w:t>В случае коротких панелей разумно предположить, что наблюдение принадлежит к определенному классу в течение всего периода времени</w:t>
      </w:r>
      <w:r w:rsidR="00B11F52" w:rsidRPr="00B60B17">
        <w:rPr>
          <w:rStyle w:val="FootnoteReference"/>
          <w:rFonts w:ascii="Times New Roman" w:hAnsi="Times New Roman" w:cs="Times New Roman"/>
        </w:rPr>
        <w:footnoteReference w:id="2"/>
      </w:r>
      <w:r w:rsidR="00917596" w:rsidRPr="00B60B17">
        <w:rPr>
          <w:rFonts w:ascii="Times New Roman" w:hAnsi="Times New Roman" w:cs="Times New Roman"/>
          <w:lang w:val="ru-RU"/>
        </w:rPr>
        <w:t>, поэтому</w:t>
      </w:r>
    </w:p>
    <w:p w:rsidR="00B11F52" w:rsidRPr="00B60B17" w:rsidRDefault="00B11F52" w:rsidP="00B60B17">
      <w:pPr>
        <w:pStyle w:val="BodyText"/>
        <w:spacing w:after="0" w:line="360" w:lineRule="auto"/>
        <w:ind w:left="1068"/>
        <w:jc w:val="both"/>
      </w:pPr>
      <m:oMathPara>
        <m:oMathParaPr>
          <m:jc m:val="center"/>
        </m:oMathParaPr>
        <m:oMath>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r>
                <w:rPr>
                  <w:rFonts w:ascii="Cambria Math" w:hAnsi="Cambria Math"/>
                </w:rPr>
                <m:t>π</m:t>
              </m:r>
              <m:r>
                <m:rPr>
                  <m:sty m:val="p"/>
                </m:rPr>
                <w:rPr>
                  <w:rFonts w:ascii="Cambria Math" w:hAnsi="Cambria Math"/>
                </w:rPr>
                <m:t>,</m:t>
              </m:r>
              <m:r>
                <m:rPr>
                  <m:sty m:val="b"/>
                </m:rPr>
                <w:rPr>
                  <w:rFonts w:ascii="Cambria Math" w:hAnsi="Cambria Math"/>
                </w:rPr>
                <m:t>θ</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1</m:t>
              </m:r>
            </m:sub>
            <m:sup>
              <m:r>
                <w:rPr>
                  <w:rFonts w:ascii="Cambria Math" w:hAnsi="Cambria Math"/>
                </w:rPr>
                <m:t>C</m:t>
              </m:r>
            </m:sup>
            <m:e>
              <m:sSub>
                <m:sSubPr>
                  <m:ctrlPr>
                    <w:rPr>
                      <w:rFonts w:ascii="Cambria Math" w:hAnsi="Cambria Math"/>
                    </w:rPr>
                  </m:ctrlPr>
                </m:sSubPr>
                <m:e>
                  <m:r>
                    <w:rPr>
                      <w:rFonts w:ascii="Cambria Math" w:hAnsi="Cambria Math"/>
                    </w:rPr>
                    <m:t>π</m:t>
                  </m:r>
                </m:e>
                <m:sub>
                  <m:r>
                    <w:rPr>
                      <w:rFonts w:ascii="Cambria Math" w:hAnsi="Cambria Math"/>
                    </w:rPr>
                    <m:t>j</m:t>
                  </m:r>
                </m:sub>
              </m:sSub>
            </m:e>
          </m:nary>
          <m:nary>
            <m:naryPr>
              <m:chr m:val="∏"/>
              <m:limLoc m:val="undOvr"/>
              <m:ctrlPr>
                <w:rPr>
                  <w:rFonts w:ascii="Cambria Math" w:hAnsi="Cambria Math"/>
                </w:rPr>
              </m:ctrlPr>
            </m:naryPr>
            <m:sub>
              <m:r>
                <w:rPr>
                  <w:rFonts w:ascii="Cambria Math" w:hAnsi="Cambria Math"/>
                </w:rPr>
                <m:t>t</m:t>
              </m:r>
              <m:r>
                <m:rPr>
                  <m:sty m:val="p"/>
                </m:rPr>
                <w:rPr>
                  <w:rFonts w:ascii="Cambria Math" w:hAnsi="Cambria Math"/>
                </w:rPr>
                <m:t>=</m:t>
              </m:r>
              <m:r>
                <w:rPr>
                  <w:rFonts w:ascii="Cambria Math" w:hAnsi="Cambria Math"/>
                </w:rPr>
                <m:t>1</m:t>
              </m:r>
            </m:sub>
            <m:sup>
              <m:r>
                <w:rPr>
                  <w:rFonts w:ascii="Cambria Math" w:hAnsi="Cambria Math"/>
                </w:rPr>
                <m:t>T</m:t>
              </m:r>
            </m:sup>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θ</m:t>
                      </m:r>
                    </m:e>
                    <m:sub>
                      <m:r>
                        <w:rPr>
                          <w:rFonts w:ascii="Cambria Math" w:hAnsi="Cambria Math"/>
                        </w:rPr>
                        <m:t>j</m:t>
                      </m:r>
                    </m:sub>
                  </m:sSub>
                </m:e>
              </m:d>
            </m:e>
          </m:nary>
        </m:oMath>
      </m:oMathPara>
    </w:p>
    <w:p w:rsidR="00B11F52" w:rsidRPr="00B60B17" w:rsidRDefault="00917596" w:rsidP="00B60B17">
      <w:pPr>
        <w:pStyle w:val="FirstParagraph"/>
        <w:spacing w:before="0" w:after="0" w:line="360" w:lineRule="auto"/>
        <w:jc w:val="both"/>
        <w:rPr>
          <w:rFonts w:ascii="Times New Roman" w:hAnsi="Times New Roman" w:cs="Times New Roman"/>
          <w:lang w:val="ru-RU"/>
        </w:rPr>
      </w:pPr>
      <w:r w:rsidRPr="00B60B17">
        <w:rPr>
          <w:rFonts w:ascii="Times New Roman" w:hAnsi="Times New Roman" w:cs="Times New Roman"/>
          <w:lang w:val="ru-RU"/>
        </w:rPr>
        <w:t>По формуле Байеса можно найти апостериорную</w:t>
      </w:r>
      <w:r w:rsidR="001D2EA6" w:rsidRPr="00B60B17">
        <w:rPr>
          <w:rFonts w:ascii="Times New Roman" w:hAnsi="Times New Roman" w:cs="Times New Roman"/>
          <w:lang w:val="ru-RU"/>
        </w:rPr>
        <w:t xml:space="preserve"> вероятность </w:t>
      </w:r>
      <w:r w:rsidRPr="00B60B17">
        <w:rPr>
          <w:rFonts w:ascii="Times New Roman" w:hAnsi="Times New Roman" w:cs="Times New Roman"/>
          <w:lang w:val="ru-RU"/>
        </w:rPr>
        <w:t xml:space="preserve">принадлежности к классу </w:t>
      </w:r>
      <m:oMath>
        <m:r>
          <w:rPr>
            <w:rFonts w:ascii="Cambria Math" w:hAnsi="Cambria Math" w:cs="Times New Roman"/>
          </w:rPr>
          <m:t>j</m:t>
        </m:r>
      </m:oMath>
      <w:r w:rsidR="00B11F52" w:rsidRPr="00B60B17">
        <w:rPr>
          <w:rFonts w:ascii="Times New Roman" w:hAnsi="Times New Roman" w:cs="Times New Roman"/>
          <w:lang w:val="ru-RU"/>
        </w:rPr>
        <w:t>:</w:t>
      </w:r>
    </w:p>
    <w:p w:rsidR="00B11F52" w:rsidRPr="00B60B17" w:rsidRDefault="00B11F52" w:rsidP="00B60B17">
      <w:pPr>
        <w:pStyle w:val="BodyText"/>
        <w:spacing w:after="0" w:line="360" w:lineRule="auto"/>
        <w:ind w:left="1068"/>
        <w:jc w:val="both"/>
      </w:pPr>
      <m:oMathPara>
        <m:oMathParaPr>
          <m:jc m:val="center"/>
        </m:oMathParaPr>
        <m:oMath>
          <m:r>
            <w:rPr>
              <w:rFonts w:ascii="Cambria Math" w:hAnsi="Cambria Math"/>
            </w:rPr>
            <m:t>P</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j</m:t>
              </m:r>
            </m:e>
          </m:d>
          <m:r>
            <m:rPr>
              <m:sty m:val="p"/>
            </m:rPr>
            <w:rPr>
              <w:rFonts w:ascii="Cambria Math" w:hAnsi="Cambria Math"/>
            </w:rPr>
            <m:t>=</m:t>
          </m:r>
          <m:sSub>
            <m:sSubPr>
              <m:ctrlPr>
                <w:rPr>
                  <w:rFonts w:ascii="Cambria Math" w:hAnsi="Cambria Math"/>
                </w:rPr>
              </m:ctrlPr>
            </m:sSubPr>
            <m:e>
              <m:r>
                <w:rPr>
                  <w:rFonts w:ascii="Cambria Math" w:hAnsi="Cambria Math"/>
                </w:rPr>
                <m:t>π</m:t>
              </m:r>
            </m:e>
            <m:sub>
              <m:r>
                <w:rPr>
                  <w:rFonts w:ascii="Cambria Math" w:hAnsi="Cambria Math"/>
                </w:rPr>
                <m:t>j</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m:t>
              </m:r>
              <m:r>
                <w:rPr>
                  <w:rFonts w:ascii="Cambria Math" w:hAnsi="Cambria Math"/>
                </w:rPr>
                <m:t>1</m:t>
              </m:r>
            </m:sub>
            <m:sup>
              <m:r>
                <w:rPr>
                  <w:rFonts w:ascii="Cambria Math" w:hAnsi="Cambria Math"/>
                </w:rPr>
                <m:t>T</m:t>
              </m:r>
            </m:sup>
            <m:e>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x</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θ</m:t>
                  </m:r>
                </m:e>
                <m:sub>
                  <m:r>
                    <w:rPr>
                      <w:rFonts w:ascii="Cambria Math" w:hAnsi="Cambria Math"/>
                    </w:rPr>
                    <m:t>j</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1</m:t>
              </m:r>
            </m:sub>
            <m:sup>
              <m:r>
                <w:rPr>
                  <w:rFonts w:ascii="Cambria Math" w:hAnsi="Cambria Math"/>
                </w:rPr>
                <m:t>C</m:t>
              </m:r>
            </m:sup>
            <m:e>
              <m:sSub>
                <m:sSubPr>
                  <m:ctrlPr>
                    <w:rPr>
                      <w:rFonts w:ascii="Cambria Math" w:hAnsi="Cambria Math"/>
                    </w:rPr>
                  </m:ctrlPr>
                </m:sSubPr>
                <m:e>
                  <m:r>
                    <w:rPr>
                      <w:rFonts w:ascii="Cambria Math" w:hAnsi="Cambria Math"/>
                    </w:rPr>
                    <m:t>π</m:t>
                  </m:r>
                </m:e>
                <m:sub>
                  <m:r>
                    <w:rPr>
                      <w:rFonts w:ascii="Cambria Math" w:hAnsi="Cambria Math"/>
                    </w:rPr>
                    <m:t>j</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t</m:t>
              </m:r>
              <m:r>
                <m:rPr>
                  <m:sty m:val="p"/>
                </m:rPr>
                <w:rPr>
                  <w:rFonts w:ascii="Cambria Math" w:hAnsi="Cambria Math"/>
                </w:rPr>
                <m:t>=</m:t>
              </m:r>
              <m:r>
                <w:rPr>
                  <w:rFonts w:ascii="Cambria Math" w:hAnsi="Cambria Math"/>
                </w:rPr>
                <m:t>1</m:t>
              </m:r>
            </m:sub>
            <m:sup>
              <m:r>
                <w:rPr>
                  <w:rFonts w:ascii="Cambria Math" w:hAnsi="Cambria Math"/>
                </w:rPr>
                <m:t>T</m:t>
              </m:r>
            </m:sup>
            <m:e>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x</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θ</m:t>
                  </m:r>
                </m:e>
                <m:sub>
                  <m:r>
                    <w:rPr>
                      <w:rFonts w:ascii="Cambria Math" w:hAnsi="Cambria Math"/>
                    </w:rPr>
                    <m:t>j</m:t>
                  </m:r>
                </m:sub>
              </m:sSub>
            </m:e>
          </m:nary>
          <m:r>
            <m:rPr>
              <m:sty m:val="p"/>
            </m:rPr>
            <w:rPr>
              <w:rFonts w:ascii="Cambria Math" w:hAnsi="Cambria Math"/>
            </w:rPr>
            <m:t>)</m:t>
          </m:r>
        </m:oMath>
      </m:oMathPara>
    </w:p>
    <w:p w:rsidR="00B11F52" w:rsidRPr="00B60B17" w:rsidRDefault="00917596" w:rsidP="00B60B17">
      <w:pPr>
        <w:pStyle w:val="FirstParagraph"/>
        <w:spacing w:before="0" w:after="0" w:line="360" w:lineRule="auto"/>
        <w:jc w:val="both"/>
        <w:rPr>
          <w:rFonts w:ascii="Times New Roman" w:hAnsi="Times New Roman" w:cs="Times New Roman"/>
          <w:lang w:val="ru-RU"/>
        </w:rPr>
      </w:pPr>
      <w:r w:rsidRPr="00B60B17">
        <w:rPr>
          <w:rFonts w:ascii="Times New Roman" w:hAnsi="Times New Roman" w:cs="Times New Roman"/>
          <w:lang w:val="ru-RU"/>
        </w:rPr>
        <w:t xml:space="preserve">Наиболее вероятный класс для каждого индивида </w:t>
      </w:r>
      <m:oMath>
        <m:r>
          <w:rPr>
            <w:rFonts w:ascii="Cambria Math" w:hAnsi="Cambria Math" w:cs="Times New Roman"/>
          </w:rPr>
          <m:t>i</m:t>
        </m:r>
      </m:oMath>
      <w:r w:rsidRPr="00B60B17">
        <w:rPr>
          <w:rFonts w:ascii="Times New Roman" w:hAnsi="Times New Roman" w:cs="Times New Roman"/>
          <w:lang w:val="ru-RU"/>
        </w:rPr>
        <w:t xml:space="preserve"> определяется на основе максимального значения апостериорной вероятности:</w:t>
      </w:r>
      <w:r w:rsidR="00B11F52" w:rsidRPr="00B60B17">
        <w:rPr>
          <w:rFonts w:ascii="Times New Roman" w:hAnsi="Times New Roman" w:cs="Times New Roman"/>
          <w:lang w:val="ru-RU"/>
        </w:rPr>
        <w:t xml:space="preserve"> </w:t>
      </w:r>
      <m:oMath>
        <m:r>
          <m:rPr>
            <m:nor/>
          </m:rPr>
          <w:rPr>
            <w:rFonts w:ascii="Times New Roman" w:hAnsi="Times New Roman" w:cs="Times New Roman"/>
          </w:rPr>
          <m:t>max</m:t>
        </m:r>
        <m:r>
          <m:rPr>
            <m:sty m:val="p"/>
          </m:rPr>
          <w:rPr>
            <w:rFonts w:ascii="Cambria Math" w:hAnsi="Cambria Math" w:cs="Times New Roman"/>
            <w:lang w:val="ru-RU"/>
          </w:rPr>
          <m:t>{</m:t>
        </m:r>
        <m:r>
          <w:rPr>
            <w:rFonts w:ascii="Cambria Math" w:hAnsi="Cambria Math" w:cs="Times New Roman"/>
          </w:rPr>
          <m:t>P</m:t>
        </m:r>
        <m:d>
          <m:dPr>
            <m:ctrlPr>
              <w:rPr>
                <w:rFonts w:ascii="Cambria Math" w:hAnsi="Cambria Math" w:cs="Times New Roman"/>
              </w:rPr>
            </m:ctrlPr>
          </m:dPr>
          <m:e>
            <m:r>
              <w:rPr>
                <w:rFonts w:ascii="Cambria Math" w:hAnsi="Cambria Math" w:cs="Times New Roman"/>
              </w:rPr>
              <m:t>i</m:t>
            </m:r>
            <m:r>
              <m:rPr>
                <m:sty m:val="p"/>
              </m:rPr>
              <w:rPr>
                <w:rFonts w:ascii="Cambria Math" w:hAnsi="Cambria Math" w:cs="Times New Roman"/>
                <w:lang w:val="ru-RU"/>
              </w:rPr>
              <m:t>∈</m:t>
            </m:r>
            <m:r>
              <w:rPr>
                <w:rFonts w:ascii="Cambria Math" w:hAnsi="Cambria Math" w:cs="Times New Roman"/>
              </w:rPr>
              <m:t>j</m:t>
            </m:r>
          </m:e>
        </m:d>
        <m:r>
          <m:rPr>
            <m:sty m:val="p"/>
          </m:rPr>
          <w:rPr>
            <w:rFonts w:ascii="Cambria Math" w:hAnsi="Cambria Math" w:cs="Times New Roman"/>
            <w:lang w:val="ru-RU"/>
          </w:rPr>
          <m:t>|</m:t>
        </m:r>
        <m:r>
          <w:rPr>
            <w:rFonts w:ascii="Cambria Math" w:hAnsi="Cambria Math" w:cs="Times New Roman"/>
          </w:rPr>
          <m:t>j</m:t>
        </m:r>
        <m:r>
          <m:rPr>
            <m:sty m:val="p"/>
          </m:rPr>
          <w:rPr>
            <w:rFonts w:ascii="Cambria Math" w:hAnsi="Cambria Math" w:cs="Times New Roman"/>
            <w:lang w:val="ru-RU"/>
          </w:rPr>
          <m:t>=</m:t>
        </m:r>
        <m:r>
          <w:rPr>
            <w:rFonts w:ascii="Cambria Math" w:hAnsi="Cambria Math" w:cs="Times New Roman"/>
            <w:lang w:val="ru-RU"/>
          </w:rPr>
          <m:t>1</m:t>
        </m:r>
        <m:r>
          <m:rPr>
            <m:sty m:val="p"/>
          </m:rPr>
          <w:rPr>
            <w:rFonts w:ascii="Cambria Math" w:hAnsi="Cambria Math" w:cs="Times New Roman"/>
            <w:lang w:val="ru-RU"/>
          </w:rPr>
          <m:t>,...,</m:t>
        </m:r>
        <m:r>
          <w:rPr>
            <w:rFonts w:ascii="Cambria Math" w:hAnsi="Cambria Math" w:cs="Times New Roman"/>
          </w:rPr>
          <m:t>C</m:t>
        </m:r>
        <m:r>
          <m:rPr>
            <m:sty m:val="p"/>
          </m:rPr>
          <w:rPr>
            <w:rFonts w:ascii="Cambria Math" w:hAnsi="Cambria Math" w:cs="Times New Roman"/>
            <w:lang w:val="ru-RU"/>
          </w:rPr>
          <m:t>}</m:t>
        </m:r>
      </m:oMath>
      <w:r w:rsidR="00B11F52" w:rsidRPr="00B60B17">
        <w:rPr>
          <w:rStyle w:val="FootnoteReference"/>
          <w:rFonts w:ascii="Times New Roman" w:hAnsi="Times New Roman" w:cs="Times New Roman"/>
        </w:rPr>
        <w:footnoteReference w:id="3"/>
      </w:r>
      <m:oMath>
        <m:r>
          <m:rPr>
            <m:sty m:val="p"/>
          </m:rPr>
          <w:rPr>
            <w:rFonts w:ascii="Cambria Math" w:hAnsi="Cambria Math" w:cs="Times New Roman"/>
            <w:lang w:val="ru-RU"/>
          </w:rPr>
          <m:t>.</m:t>
        </m:r>
      </m:oMath>
    </w:p>
    <w:p w:rsidR="00B11F52" w:rsidRPr="00B60B17" w:rsidRDefault="00917596" w:rsidP="00B60B17">
      <w:pPr>
        <w:pStyle w:val="BodyText"/>
        <w:spacing w:after="0" w:line="360" w:lineRule="auto"/>
        <w:ind w:firstLine="708"/>
        <w:jc w:val="both"/>
      </w:pPr>
      <w:r w:rsidRPr="00B60B17">
        <w:lastRenderedPageBreak/>
        <w:t>Отметим, что модели со смесью из конечного числа распределений основаны на предположении о том, что классы можно упорядочить. Например, в случае двух классов и оценивания потребительского спроса имеем</w:t>
      </w:r>
      <w:r w:rsidR="00B11F52" w:rsidRPr="00B60B17">
        <w:t xml:space="preserve">: </w:t>
      </w:r>
      <m:oMath>
        <m:r>
          <w:rPr>
            <w:rFonts w:ascii="Cambria Math" w:hAnsi="Cambria Math"/>
          </w:rPr>
          <m:t>E</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1</m:t>
                </m:r>
              </m:sub>
            </m:sSub>
            <m:r>
              <m:rPr>
                <m:sty m:val="p"/>
              </m:rPr>
              <w:rPr>
                <w:rFonts w:ascii="Cambria Math" w:hAnsi="Cambria Math"/>
              </w:rPr>
              <m:t>|</m:t>
            </m:r>
            <m:r>
              <m:rPr>
                <m:sty m:val="b"/>
              </m:rPr>
              <w:rPr>
                <w:rFonts w:ascii="Cambria Math" w:hAnsi="Cambria Math"/>
              </w:rPr>
              <m:t>x</m:t>
            </m:r>
          </m:e>
        </m:d>
        <m:r>
          <m:rPr>
            <m:sty m:val="p"/>
          </m:rPr>
          <w:rPr>
            <w:rFonts w:ascii="Cambria Math" w:hAnsi="Cambria Math"/>
          </w:rPr>
          <m:t>&gt;</m:t>
        </m:r>
        <m:r>
          <w:rPr>
            <w:rFonts w:ascii="Cambria Math" w:hAnsi="Cambria Math"/>
          </w:rPr>
          <m:t>E</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2</m:t>
                </m:r>
              </m:sub>
            </m:sSub>
            <m:r>
              <m:rPr>
                <m:sty m:val="p"/>
              </m:rPr>
              <w:rPr>
                <w:rFonts w:ascii="Cambria Math" w:hAnsi="Cambria Math"/>
              </w:rPr>
              <m:t>|</m:t>
            </m:r>
            <m:r>
              <m:rPr>
                <m:sty m:val="b"/>
              </m:rPr>
              <w:rPr>
                <w:rFonts w:ascii="Cambria Math" w:hAnsi="Cambria Math"/>
              </w:rPr>
              <m:t>x</m:t>
            </m:r>
          </m:e>
        </m:d>
      </m:oMath>
      <w:r w:rsidR="00B11F52" w:rsidRPr="00B60B17">
        <w:t xml:space="preserve">, </w:t>
      </w:r>
      <w:r w:rsidRPr="00B60B17">
        <w:t xml:space="preserve">где индекс </w:t>
      </w:r>
      <w:r w:rsidR="00B11F52" w:rsidRPr="00B60B17">
        <w:t xml:space="preserve">1 </w:t>
      </w:r>
      <w:r w:rsidRPr="00B60B17">
        <w:t xml:space="preserve">обозначает класс индивидов  с высоким </w:t>
      </w:r>
      <w:r w:rsidR="0023491C" w:rsidRPr="00B60B17">
        <w:t>спросом</w:t>
      </w:r>
      <w:r w:rsidRPr="00B60B17">
        <w:t xml:space="preserve">, а индекс 2 </w:t>
      </w:r>
      <w:r w:rsidRPr="00B60B17">
        <w:rPr>
          <w:lang w:eastAsia="en-US"/>
        </w:rPr>
        <w:t>–</w:t>
      </w:r>
      <w:r w:rsidRPr="00B60B17">
        <w:t xml:space="preserve">  класс с низким спросом</w:t>
      </w:r>
      <w:r w:rsidR="00B11F52" w:rsidRPr="00B60B17">
        <w:t>.</w:t>
      </w:r>
    </w:p>
    <w:p w:rsidR="00134766" w:rsidRPr="00B60B17" w:rsidRDefault="000A461E" w:rsidP="00B60B17">
      <w:pPr>
        <w:pStyle w:val="BodyText"/>
        <w:spacing w:after="0" w:line="360" w:lineRule="auto"/>
        <w:ind w:firstLine="708"/>
        <w:jc w:val="both"/>
      </w:pPr>
      <w:r w:rsidRPr="00B60B17">
        <w:t>Ниже описано содержание статей, в которых автором диссертации был применен</w:t>
      </w:r>
      <w:r w:rsidR="00C64794">
        <w:t>ы</w:t>
      </w:r>
      <w:r w:rsidRPr="00B60B17">
        <w:t xml:space="preserve"> </w:t>
      </w:r>
      <w:r w:rsidR="00C64794">
        <w:t>модели с латентными</w:t>
      </w:r>
      <w:r w:rsidRPr="00B60B17">
        <w:t xml:space="preserve"> класс</w:t>
      </w:r>
      <w:r w:rsidR="00C64794">
        <w:t>ами</w:t>
      </w:r>
      <w:r w:rsidRPr="00B60B17">
        <w:t xml:space="preserve">. </w:t>
      </w:r>
    </w:p>
    <w:p w:rsidR="000A461E" w:rsidRPr="006E566C" w:rsidRDefault="0034301E" w:rsidP="00B60B17">
      <w:pPr>
        <w:spacing w:line="360" w:lineRule="auto"/>
        <w:ind w:firstLine="709"/>
        <w:jc w:val="both"/>
        <w:rPr>
          <w:rFonts w:eastAsiaTheme="minorEastAsia"/>
          <w:lang w:eastAsia="ja-JP"/>
        </w:rPr>
      </w:pPr>
      <w:r w:rsidRPr="00B60B17">
        <w:t xml:space="preserve">В </w:t>
      </w:r>
      <w:r w:rsidR="00C64794">
        <w:t>статье</w:t>
      </w:r>
      <w:r w:rsidR="00B76913" w:rsidRPr="00B60B17">
        <w:t xml:space="preserve"> </w:t>
      </w:r>
      <w:r w:rsidR="00B76913" w:rsidRPr="00B60B17">
        <w:rPr>
          <w:rFonts w:eastAsiaTheme="minorEastAsia"/>
          <w:lang w:eastAsia="ja-JP"/>
        </w:rPr>
        <w:t xml:space="preserve">Besstremyannaya (2011) </w:t>
      </w:r>
      <w:r w:rsidR="00B76913" w:rsidRPr="00B60B17">
        <w:t xml:space="preserve">для оценки эффективности производителей в экономике здравоохранения впервые применена </w:t>
      </w:r>
      <w:r w:rsidRPr="00B60B17">
        <w:t xml:space="preserve">модель стохастической границы </w:t>
      </w:r>
      <w:r w:rsidR="00C64794">
        <w:t xml:space="preserve">для </w:t>
      </w:r>
      <w:r w:rsidRPr="00B60B17">
        <w:t>функции издержек с латентными классами</w:t>
      </w:r>
      <w:r w:rsidR="00C64794">
        <w:t>. Формальный подход следует общей модели</w:t>
      </w:r>
      <w:r w:rsidRPr="00B60B17">
        <w:t xml:space="preserve"> </w:t>
      </w:r>
      <w:r w:rsidR="00B76913" w:rsidRPr="00B60B17">
        <w:rPr>
          <w:lang w:val="en-US"/>
        </w:rPr>
        <w:t>Greene</w:t>
      </w:r>
      <w:r w:rsidR="00B76913" w:rsidRPr="00B60B17">
        <w:t xml:space="preserve"> (2002, 2007)</w:t>
      </w:r>
      <w:r w:rsidR="00C64794">
        <w:t>, а</w:t>
      </w:r>
      <w:r w:rsidRPr="00B60B17">
        <w:t xml:space="preserve"> зависим</w:t>
      </w:r>
      <w:r w:rsidR="00C64794">
        <w:t xml:space="preserve">ость неэффективности от времени берется </w:t>
      </w:r>
      <w:r w:rsidRPr="00B60B17">
        <w:t xml:space="preserve">в форме </w:t>
      </w:r>
      <w:proofErr w:type="spellStart"/>
      <w:r w:rsidR="00875648" w:rsidRPr="00B60B17">
        <w:rPr>
          <w:lang w:val="en-US"/>
        </w:rPr>
        <w:t>Battese</w:t>
      </w:r>
      <w:proofErr w:type="spellEnd"/>
      <w:r w:rsidR="00875648" w:rsidRPr="00B60B17">
        <w:t xml:space="preserve"> </w:t>
      </w:r>
      <w:r w:rsidR="00875648" w:rsidRPr="00B60B17">
        <w:rPr>
          <w:lang w:val="en-US"/>
        </w:rPr>
        <w:t>and</w:t>
      </w:r>
      <w:r w:rsidR="00875648" w:rsidRPr="00B60B17">
        <w:t xml:space="preserve"> </w:t>
      </w:r>
      <w:proofErr w:type="spellStart"/>
      <w:r w:rsidR="00875648" w:rsidRPr="00B60B17">
        <w:rPr>
          <w:lang w:val="en-US"/>
        </w:rPr>
        <w:t>Coelli</w:t>
      </w:r>
      <w:proofErr w:type="spellEnd"/>
      <w:r w:rsidR="00875648" w:rsidRPr="00B60B17">
        <w:t xml:space="preserve"> (199</w:t>
      </w:r>
      <w:r w:rsidR="00DB5E94" w:rsidRPr="00B60B17">
        <w:t>2</w:t>
      </w:r>
      <w:r w:rsidR="00875648" w:rsidRPr="00B60B17">
        <w:t>)</w:t>
      </w:r>
      <w:r w:rsidR="00B76913" w:rsidRPr="00B60B17">
        <w:t>.</w:t>
      </w:r>
      <w:r w:rsidR="00875648" w:rsidRPr="00B60B17">
        <w:t xml:space="preserve"> </w:t>
      </w:r>
      <w:r w:rsidR="00B76913" w:rsidRPr="00B60B17">
        <w:t xml:space="preserve">Основное предположение </w:t>
      </w:r>
      <w:r w:rsidR="006E566C">
        <w:t>статьи</w:t>
      </w:r>
      <w:r w:rsidR="00B76913" w:rsidRPr="00B60B17">
        <w:t xml:space="preserve"> – существование ненаблюдаемой гетерогенности, связанной с различными типами </w:t>
      </w:r>
      <w:r w:rsidR="00CA3FC7" w:rsidRPr="00B60B17">
        <w:t xml:space="preserve">управления </w:t>
      </w:r>
      <w:r w:rsidR="0060733F" w:rsidRPr="00B60B17">
        <w:t>государственными предприятиями (муниципальны</w:t>
      </w:r>
      <w:r w:rsidR="00CA3FC7" w:rsidRPr="00B60B17">
        <w:t>е</w:t>
      </w:r>
      <w:r w:rsidR="0060733F" w:rsidRPr="00B60B17">
        <w:t xml:space="preserve"> стационар</w:t>
      </w:r>
      <w:r w:rsidR="00CA3FC7" w:rsidRPr="00B60B17">
        <w:t>ы</w:t>
      </w:r>
      <w:r w:rsidR="0060733F" w:rsidRPr="00B60B17">
        <w:t xml:space="preserve"> в Японии</w:t>
      </w:r>
      <w:r w:rsidR="00CA3FC7" w:rsidRPr="00B60B17">
        <w:t xml:space="preserve"> </w:t>
      </w:r>
      <w:r w:rsidR="0060733F" w:rsidRPr="00B60B17">
        <w:t xml:space="preserve">  </w:t>
      </w:r>
      <w:r w:rsidR="00CA3FC7" w:rsidRPr="00B60B17">
        <w:t xml:space="preserve">составляют одну из категорий </w:t>
      </w:r>
      <w:r w:rsidR="0060733F" w:rsidRPr="00B60B17">
        <w:t>муниципальных предприятий).</w:t>
      </w:r>
      <w:r w:rsidR="00B76913" w:rsidRPr="00B60B17">
        <w:t xml:space="preserve"> </w:t>
      </w:r>
      <w:r w:rsidR="006E566C">
        <w:t xml:space="preserve">Предположение обосновано выводами цикла работ </w:t>
      </w:r>
      <w:proofErr w:type="spellStart"/>
      <w:r w:rsidR="006E566C">
        <w:rPr>
          <w:rFonts w:eastAsiaTheme="minorEastAsia"/>
          <w:lang w:eastAsia="ja-JP"/>
        </w:rPr>
        <w:t>Bloom</w:t>
      </w:r>
      <w:proofErr w:type="spellEnd"/>
      <w:r w:rsidR="006E566C">
        <w:rPr>
          <w:rFonts w:eastAsiaTheme="minorEastAsia"/>
          <w:lang w:eastAsia="ja-JP"/>
        </w:rPr>
        <w:t xml:space="preserve"> </w:t>
      </w:r>
      <w:proofErr w:type="spellStart"/>
      <w:r w:rsidR="006E566C">
        <w:rPr>
          <w:rFonts w:eastAsiaTheme="minorEastAsia"/>
          <w:lang w:eastAsia="ja-JP"/>
        </w:rPr>
        <w:t>and</w:t>
      </w:r>
      <w:proofErr w:type="spellEnd"/>
      <w:r w:rsidR="006E566C">
        <w:rPr>
          <w:rFonts w:eastAsiaTheme="minorEastAsia"/>
          <w:lang w:eastAsia="ja-JP"/>
        </w:rPr>
        <w:t xml:space="preserve"> </w:t>
      </w:r>
      <w:proofErr w:type="spellStart"/>
      <w:r w:rsidR="006E566C">
        <w:rPr>
          <w:rFonts w:eastAsiaTheme="minorEastAsia"/>
          <w:lang w:eastAsia="ja-JP"/>
        </w:rPr>
        <w:t>van</w:t>
      </w:r>
      <w:proofErr w:type="spellEnd"/>
      <w:r w:rsidR="006E566C">
        <w:rPr>
          <w:rFonts w:eastAsiaTheme="minorEastAsia"/>
          <w:lang w:eastAsia="ja-JP"/>
        </w:rPr>
        <w:t xml:space="preserve"> </w:t>
      </w:r>
      <w:proofErr w:type="spellStart"/>
      <w:r w:rsidR="006E566C">
        <w:rPr>
          <w:rFonts w:eastAsiaTheme="minorEastAsia"/>
          <w:lang w:eastAsia="ja-JP"/>
        </w:rPr>
        <w:t>Reenen</w:t>
      </w:r>
      <w:proofErr w:type="spellEnd"/>
      <w:r w:rsidR="006E566C">
        <w:rPr>
          <w:rFonts w:eastAsiaTheme="minorEastAsia"/>
          <w:lang w:eastAsia="ja-JP"/>
        </w:rPr>
        <w:t>, где выявлено конечное число типов менеджмента предприятиями в разных отраслях экономики развитых стран, включая и сектор здравоохранения.</w:t>
      </w:r>
    </w:p>
    <w:p w:rsidR="000A461E" w:rsidRPr="00B60B17" w:rsidRDefault="0034301E" w:rsidP="00B60B17">
      <w:pPr>
        <w:spacing w:line="360" w:lineRule="auto"/>
        <w:ind w:firstLine="709"/>
        <w:jc w:val="both"/>
      </w:pPr>
      <w:r w:rsidRPr="00B60B17">
        <w:t xml:space="preserve">В </w:t>
      </w:r>
      <w:r w:rsidR="0060733F" w:rsidRPr="00B60B17">
        <w:t>статье</w:t>
      </w:r>
      <w:r w:rsidR="006E566C">
        <w:t xml:space="preserve"> </w:t>
      </w:r>
      <w:r w:rsidR="006E566C">
        <w:rPr>
          <w:rFonts w:eastAsiaTheme="minorEastAsia"/>
          <w:lang w:val="en-US" w:eastAsia="ja-JP"/>
        </w:rPr>
        <w:t>Besstremyannaya</w:t>
      </w:r>
      <w:r w:rsidR="006E566C" w:rsidRPr="006E566C">
        <w:rPr>
          <w:rFonts w:eastAsiaTheme="minorEastAsia"/>
          <w:lang w:eastAsia="ja-JP"/>
        </w:rPr>
        <w:t xml:space="preserve"> (2011)</w:t>
      </w:r>
      <w:r w:rsidR="0060733F" w:rsidRPr="00B60B17">
        <w:t xml:space="preserve"> </w:t>
      </w:r>
      <w:r w:rsidR="006E566C">
        <w:t>предложена</w:t>
      </w:r>
      <w:r w:rsidRPr="00B60B17">
        <w:t xml:space="preserve"> спецификация </w:t>
      </w:r>
      <w:proofErr w:type="spellStart"/>
      <w:r w:rsidR="006E566C">
        <w:t>многопродуктовой</w:t>
      </w:r>
      <w:proofErr w:type="spellEnd"/>
      <w:r w:rsidR="006E566C">
        <w:t xml:space="preserve"> </w:t>
      </w:r>
      <w:r w:rsidRPr="00B60B17">
        <w:t>модели</w:t>
      </w:r>
      <w:r w:rsidR="006E566C" w:rsidRPr="006E566C">
        <w:t xml:space="preserve"> </w:t>
      </w:r>
      <w:r w:rsidR="006E566C">
        <w:t>для больницы</w:t>
      </w:r>
      <w:r w:rsidRPr="00B60B17">
        <w:t xml:space="preserve">, оценены априорные и апостериорные вероятности принадлежности к ненаблюдаемым классам, </w:t>
      </w:r>
      <w:r w:rsidR="006E566C">
        <w:t xml:space="preserve">получена </w:t>
      </w:r>
      <w:r w:rsidR="00967939" w:rsidRPr="00B60B17">
        <w:t xml:space="preserve">динамика неэффективности в каждом из классов, </w:t>
      </w:r>
      <w:r w:rsidRPr="00B60B17">
        <w:t xml:space="preserve">а также произведен после-регрессионный анализ </w:t>
      </w:r>
      <w:r w:rsidR="00DA07C4">
        <w:t>с использованием значений</w:t>
      </w:r>
      <w:r w:rsidR="0060733F" w:rsidRPr="00B60B17">
        <w:t xml:space="preserve"> прокси переменны</w:t>
      </w:r>
      <w:r w:rsidR="00DA07C4">
        <w:t>х</w:t>
      </w:r>
      <w:r w:rsidR="0060733F" w:rsidRPr="00B60B17">
        <w:t xml:space="preserve"> для качества</w:t>
      </w:r>
      <w:r w:rsidRPr="00B60B17">
        <w:t xml:space="preserve"> управления. Модель оценивается на данных 6</w:t>
      </w:r>
      <w:r w:rsidR="00CA3FC7" w:rsidRPr="00B60B17">
        <w:t>17</w:t>
      </w:r>
      <w:r w:rsidRPr="00B60B17">
        <w:t xml:space="preserve"> стационаров Японии в 1999-2007 годы</w:t>
      </w:r>
      <w:r w:rsidR="006E566C">
        <w:t xml:space="preserve">. Для </w:t>
      </w:r>
      <w:proofErr w:type="gramStart"/>
      <w:r w:rsidR="006E566C">
        <w:t>этого  использована</w:t>
      </w:r>
      <w:proofErr w:type="gramEnd"/>
      <w:r w:rsidR="00CA3FC7" w:rsidRPr="00B60B17">
        <w:t xml:space="preserve"> финансовая микроэкономическая статистика муниципальных предприятий Японии, публикуемая в ежегодных сборниках Министерства внутренних дел и коммуникаций, данные Статистического бюро Японии для префектур и мун</w:t>
      </w:r>
      <w:r w:rsidR="006E566C">
        <w:t>иципалитетов и другие источники</w:t>
      </w:r>
      <w:r w:rsidR="000A461E" w:rsidRPr="00B60B17">
        <w:t>.</w:t>
      </w:r>
    </w:p>
    <w:p w:rsidR="00CA3FC7" w:rsidRPr="00B60B17" w:rsidRDefault="0060733F" w:rsidP="00B60B17">
      <w:pPr>
        <w:spacing w:line="360" w:lineRule="auto"/>
        <w:ind w:firstLine="709"/>
        <w:jc w:val="both"/>
      </w:pPr>
      <w:r w:rsidRPr="00B60B17">
        <w:t xml:space="preserve"> </w:t>
      </w:r>
      <w:r w:rsidR="00CA3FC7" w:rsidRPr="00B60B17">
        <w:t xml:space="preserve">Результаты анализа показали, что стационары разделяются на два латентных класса (с большей и меньшей эффективностью), при этом ценовая неэффективность возрастает во время исследуемого периода в каждом латентном классе. Лучшее качество управления оказывается положительно значимым при объяснении вероятности принадлежности к более эффективному латентному классу. В частности, вероятность принадлежности </w:t>
      </w:r>
      <w:r w:rsidR="0023491C" w:rsidRPr="00B60B17">
        <w:t>к более</w:t>
      </w:r>
      <w:r w:rsidR="00CA3FC7" w:rsidRPr="00B60B17">
        <w:t xml:space="preserve"> эффективному латентному классу положительно связана с переменной «доля медицинских доходов в медицинских расходах» (более высокие значения которой соответствуют лучшему менеджменту) и отрицательно – с переменными «доля расходов на отплату труда в </w:t>
      </w:r>
      <w:r w:rsidR="00CA3FC7" w:rsidRPr="00B60B17">
        <w:lastRenderedPageBreak/>
        <w:t xml:space="preserve">медицинских доходах» и «доля доходов из внешних источников в медицинских доходах» (более высокие значения двух последних переменных соответствуют худшему менеджменту). </w:t>
      </w:r>
    </w:p>
    <w:p w:rsidR="005D3E4F" w:rsidRPr="00B60B17" w:rsidRDefault="00CA3FC7" w:rsidP="00B60B17">
      <w:pPr>
        <w:spacing w:line="360" w:lineRule="auto"/>
        <w:ind w:firstLine="708"/>
        <w:jc w:val="both"/>
      </w:pPr>
      <w:r w:rsidRPr="00B60B17">
        <w:rPr>
          <w:rFonts w:eastAsiaTheme="minorEastAsia"/>
          <w:lang w:eastAsia="ja-JP"/>
        </w:rPr>
        <w:t xml:space="preserve">В работе </w:t>
      </w:r>
      <w:r w:rsidR="005D3E4F" w:rsidRPr="00B60B17">
        <w:rPr>
          <w:rFonts w:eastAsiaTheme="minorEastAsia"/>
          <w:lang w:val="en-US" w:eastAsia="ja-JP"/>
        </w:rPr>
        <w:t>Besstremyannaya</w:t>
      </w:r>
      <w:r w:rsidR="005D3E4F" w:rsidRPr="00B60B17">
        <w:rPr>
          <w:rFonts w:eastAsiaTheme="minorEastAsia"/>
          <w:lang w:eastAsia="ja-JP"/>
        </w:rPr>
        <w:t xml:space="preserve"> (2015</w:t>
      </w:r>
      <w:r w:rsidR="00CE7F3E">
        <w:rPr>
          <w:rFonts w:eastAsiaTheme="minorEastAsia"/>
          <w:lang w:val="en-US" w:eastAsia="ja-JP"/>
        </w:rPr>
        <w:t>b</w:t>
      </w:r>
      <w:r w:rsidR="005D3E4F" w:rsidRPr="00B60B17">
        <w:rPr>
          <w:rFonts w:eastAsiaTheme="minorEastAsia"/>
          <w:lang w:eastAsia="ja-JP"/>
        </w:rPr>
        <w:t xml:space="preserve">) </w:t>
      </w:r>
      <w:r w:rsidR="005D3E4F" w:rsidRPr="00B60B17">
        <w:t>впервые предложены обобщенная линейная модель с латентными классами, а также методы поиска нелинейного соответствия данных</w:t>
      </w:r>
      <w:r w:rsidRPr="00B60B17">
        <w:t xml:space="preserve"> </w:t>
      </w:r>
      <w:r w:rsidR="005D3E4F" w:rsidRPr="00B60B17">
        <w:t>(</w:t>
      </w:r>
      <w:proofErr w:type="spellStart"/>
      <w:r w:rsidR="005D3E4F" w:rsidRPr="00B60B17">
        <w:t>импутации</w:t>
      </w:r>
      <w:proofErr w:type="spellEnd"/>
      <w:r w:rsidR="005D3E4F" w:rsidRPr="00B60B17">
        <w:t xml:space="preserve"> данных с помощью </w:t>
      </w:r>
      <w:proofErr w:type="spellStart"/>
      <w:r w:rsidR="005D3E4F" w:rsidRPr="00B60B17">
        <w:t>мэтчинга</w:t>
      </w:r>
      <w:proofErr w:type="spellEnd"/>
      <w:r w:rsidR="005D3E4F" w:rsidRPr="00B60B17">
        <w:t xml:space="preserve">) для изучения эластичности потребительского спроса на медицинские услуги и лекарства от размера </w:t>
      </w:r>
      <w:proofErr w:type="spellStart"/>
      <w:r w:rsidR="005D3E4F" w:rsidRPr="00B60B17">
        <w:t>соплатежа</w:t>
      </w:r>
      <w:proofErr w:type="spellEnd"/>
      <w:r w:rsidR="005D3E4F" w:rsidRPr="00B60B17">
        <w:t xml:space="preserve">. </w:t>
      </w:r>
      <w:r w:rsidR="000A461E" w:rsidRPr="00B60B17">
        <w:t>Отметим, что модели с латентными классами (</w:t>
      </w:r>
      <w:r w:rsidR="000A461E" w:rsidRPr="00B60B17">
        <w:rPr>
          <w:lang w:val="en-US"/>
        </w:rPr>
        <w:t>Deb</w:t>
      </w:r>
      <w:r w:rsidR="000A461E" w:rsidRPr="00B60B17">
        <w:t xml:space="preserve"> </w:t>
      </w:r>
      <w:r w:rsidR="000A461E" w:rsidRPr="00B60B17">
        <w:rPr>
          <w:lang w:val="en-US"/>
        </w:rPr>
        <w:t>and</w:t>
      </w:r>
      <w:r w:rsidR="000A461E" w:rsidRPr="00B60B17">
        <w:t xml:space="preserve"> </w:t>
      </w:r>
      <w:r w:rsidR="000A461E" w:rsidRPr="00B60B17">
        <w:rPr>
          <w:lang w:val="en-US"/>
        </w:rPr>
        <w:t>Trivedi</w:t>
      </w:r>
      <w:r w:rsidR="000A461E" w:rsidRPr="00B60B17">
        <w:t xml:space="preserve">, 1997) применяются для учета ненаблюдаемой гетерогенности потребителей </w:t>
      </w:r>
      <w:r w:rsidR="00703000">
        <w:t>в экономике здравоохранения</w:t>
      </w:r>
      <w:r w:rsidR="000A461E" w:rsidRPr="00B60B17">
        <w:t xml:space="preserve">. Однако новизной </w:t>
      </w:r>
      <w:r w:rsidR="00703000">
        <w:t xml:space="preserve">статьи </w:t>
      </w:r>
      <w:r w:rsidR="00703000">
        <w:rPr>
          <w:rFonts w:eastAsiaTheme="minorEastAsia"/>
          <w:lang w:eastAsia="ja-JP"/>
        </w:rPr>
        <w:t>Besstremyannaya (2015b)</w:t>
      </w:r>
      <w:r w:rsidR="000A461E" w:rsidRPr="00B60B17">
        <w:t xml:space="preserve"> стало использование методологии для анализа потребительских расходов</w:t>
      </w:r>
      <w:r w:rsidR="00703000">
        <w:t xml:space="preserve"> в рамках обобщенных линейных моделей</w:t>
      </w:r>
      <w:r w:rsidR="000A461E" w:rsidRPr="00B60B17">
        <w:t>. В частности, для решения проблемы трансформации зависимой переменной в логариф</w:t>
      </w:r>
      <w:r w:rsidR="00703000">
        <w:t xml:space="preserve">мах, в статье впервые применены </w:t>
      </w:r>
      <w:r w:rsidR="000A461E" w:rsidRPr="00B60B17">
        <w:t>обобщенные линейные модели с латентными классами для моделирования потребительских расходов на здравоохранение</w:t>
      </w:r>
      <w:r w:rsidR="00703000">
        <w:t xml:space="preserve"> (см. математическую формулировку задачи в общем виде в </w:t>
      </w:r>
      <w:r w:rsidR="00703000" w:rsidRPr="00B60B17">
        <w:rPr>
          <w:lang w:val="en-US"/>
        </w:rPr>
        <w:t>Greene</w:t>
      </w:r>
      <w:r w:rsidR="00703000">
        <w:t xml:space="preserve">, </w:t>
      </w:r>
      <w:r w:rsidR="00703000" w:rsidRPr="00B60B17">
        <w:t>2007</w:t>
      </w:r>
      <w:r w:rsidR="00703000">
        <w:t>)</w:t>
      </w:r>
      <w:r w:rsidR="000A461E" w:rsidRPr="00B60B17">
        <w:t xml:space="preserve">. </w:t>
      </w:r>
      <w:r w:rsidR="005D3E4F" w:rsidRPr="00B60B17">
        <w:t>Модель оце</w:t>
      </w:r>
      <w:r w:rsidR="00703000">
        <w:t xml:space="preserve">нивается на данных </w:t>
      </w:r>
      <w:r w:rsidR="005D3E4F" w:rsidRPr="00B60B17">
        <w:t xml:space="preserve">Японского панельного обследования потребителей (около </w:t>
      </w:r>
      <w:proofErr w:type="gramStart"/>
      <w:r w:rsidR="005D3E4F" w:rsidRPr="00B60B17">
        <w:t>1500  потребителей</w:t>
      </w:r>
      <w:proofErr w:type="gramEnd"/>
      <w:r w:rsidR="005D3E4F" w:rsidRPr="00B60B17">
        <w:t xml:space="preserve"> в 2000-2008 годы), а также данных первой волны панельного опроса японских домохозяйств (более 4 тыс. потребителей в 200</w:t>
      </w:r>
      <w:r w:rsidRPr="00B60B17">
        <w:t>9 году), любезно предоставленных</w:t>
      </w:r>
      <w:r w:rsidR="005D3E4F" w:rsidRPr="00B60B17">
        <w:t xml:space="preserve"> Научным институтом исследований экономики домохозяйств (Токио) и Совместным научно-исследовательским центром панельных исследований университета </w:t>
      </w:r>
      <w:proofErr w:type="spellStart"/>
      <w:r w:rsidR="005D3E4F" w:rsidRPr="00B60B17">
        <w:t>Кэйо</w:t>
      </w:r>
      <w:proofErr w:type="spellEnd"/>
      <w:r w:rsidR="005D3E4F" w:rsidRPr="00B60B17">
        <w:t xml:space="preserve">, соответственно. Результаты оценивания показывают значимый отрицательный эффект </w:t>
      </w:r>
      <w:proofErr w:type="spellStart"/>
      <w:r w:rsidR="005D3E4F" w:rsidRPr="00B60B17">
        <w:t>соплатежа</w:t>
      </w:r>
      <w:proofErr w:type="spellEnd"/>
      <w:r w:rsidR="00DA07C4">
        <w:t xml:space="preserve"> </w:t>
      </w:r>
      <w:r w:rsidR="00703000">
        <w:t xml:space="preserve">потребителя </w:t>
      </w:r>
      <w:r w:rsidR="00DA07C4">
        <w:t xml:space="preserve">на расходы на медицинские товары и </w:t>
      </w:r>
      <w:r w:rsidR="0023491C">
        <w:t>услуги, при</w:t>
      </w:r>
      <w:r w:rsidR="005D3E4F" w:rsidRPr="00B60B17">
        <w:t xml:space="preserve"> этом эффект различается в каждом из классов</w:t>
      </w:r>
      <w:r w:rsidR="00DA07C4">
        <w:t xml:space="preserve">. Получены разные значения эффекта </w:t>
      </w:r>
      <w:proofErr w:type="spellStart"/>
      <w:r w:rsidR="00DA07C4">
        <w:t>соплатежа</w:t>
      </w:r>
      <w:proofErr w:type="spellEnd"/>
      <w:r w:rsidR="00DA07C4">
        <w:t xml:space="preserve"> в случае</w:t>
      </w:r>
      <w:r w:rsidR="005D3E4F" w:rsidRPr="00B60B17">
        <w:t xml:space="preserve"> оценивания собственно коэффициента </w:t>
      </w:r>
      <w:r w:rsidR="00DA07C4">
        <w:t xml:space="preserve">при этой переменной в панельной модели или же при измерении </w:t>
      </w:r>
      <w:r w:rsidR="005D3E4F" w:rsidRPr="00B60B17">
        <w:t>условного/</w:t>
      </w:r>
      <w:r w:rsidR="005D3E4F" w:rsidRPr="00B60B17">
        <w:rPr>
          <w:rFonts w:eastAsiaTheme="minorEastAsia"/>
          <w:lang w:eastAsia="ja-JP"/>
        </w:rPr>
        <w:t>безусловного эффектов воздействия</w:t>
      </w:r>
      <w:r w:rsidR="00DA07C4">
        <w:rPr>
          <w:rFonts w:eastAsiaTheme="minorEastAsia"/>
          <w:lang w:eastAsia="ja-JP"/>
        </w:rPr>
        <w:t xml:space="preserve"> реформы ставки </w:t>
      </w:r>
      <w:proofErr w:type="spellStart"/>
      <w:r w:rsidR="00DA07C4">
        <w:rPr>
          <w:rFonts w:eastAsiaTheme="minorEastAsia"/>
          <w:lang w:eastAsia="ja-JP"/>
        </w:rPr>
        <w:t>соплатежа</w:t>
      </w:r>
      <w:proofErr w:type="spellEnd"/>
      <w:r w:rsidR="005D3E4F" w:rsidRPr="00B60B17">
        <w:t xml:space="preserve">. </w:t>
      </w:r>
    </w:p>
    <w:p w:rsidR="000A461E" w:rsidRPr="00B60B17" w:rsidRDefault="00227BDF" w:rsidP="00B60B17">
      <w:pPr>
        <w:spacing w:line="360" w:lineRule="auto"/>
        <w:ind w:firstLine="708"/>
        <w:jc w:val="both"/>
      </w:pPr>
      <w:r w:rsidRPr="00B60B17">
        <w:t xml:space="preserve">Продолжением данной тематики стала статья </w:t>
      </w:r>
      <w:r w:rsidR="005D3E4F" w:rsidRPr="00B60B17">
        <w:rPr>
          <w:rFonts w:eastAsiaTheme="minorEastAsia"/>
          <w:lang w:val="en-US" w:eastAsia="ja-JP"/>
        </w:rPr>
        <w:t>Besstremyannaya</w:t>
      </w:r>
      <w:r w:rsidR="005D3E4F" w:rsidRPr="00B60B17">
        <w:rPr>
          <w:rFonts w:eastAsiaTheme="minorEastAsia"/>
          <w:lang w:eastAsia="ja-JP"/>
        </w:rPr>
        <w:t xml:space="preserve"> (2017</w:t>
      </w:r>
      <w:r w:rsidR="00CE7F3E">
        <w:rPr>
          <w:rFonts w:eastAsiaTheme="minorEastAsia"/>
          <w:lang w:val="en-US" w:eastAsia="ja-JP"/>
        </w:rPr>
        <w:t>b</w:t>
      </w:r>
      <w:r w:rsidR="005D3E4F" w:rsidRPr="00B60B17">
        <w:rPr>
          <w:rFonts w:eastAsiaTheme="minorEastAsia"/>
          <w:lang w:eastAsia="ja-JP"/>
        </w:rPr>
        <w:t>)</w:t>
      </w:r>
      <w:r w:rsidRPr="00B60B17">
        <w:rPr>
          <w:rFonts w:eastAsiaTheme="minorEastAsia"/>
          <w:lang w:eastAsia="ja-JP"/>
        </w:rPr>
        <w:t>, где</w:t>
      </w:r>
      <w:r w:rsidR="005D3E4F" w:rsidRPr="00B60B17">
        <w:rPr>
          <w:rFonts w:eastAsiaTheme="minorEastAsia"/>
          <w:lang w:eastAsia="ja-JP"/>
        </w:rPr>
        <w:t xml:space="preserve"> </w:t>
      </w:r>
      <w:r w:rsidR="005D3E4F" w:rsidRPr="00B60B17">
        <w:t xml:space="preserve">применены </w:t>
      </w:r>
      <w:r w:rsidRPr="00B60B17">
        <w:t xml:space="preserve">панельные </w:t>
      </w:r>
      <w:r w:rsidR="005D3E4F" w:rsidRPr="00B60B17">
        <w:t>модели</w:t>
      </w:r>
      <w:r w:rsidRPr="00B60B17">
        <w:t xml:space="preserve"> бинарного выбора и обобщенные линейные модели</w:t>
      </w:r>
      <w:r w:rsidR="005D3E4F" w:rsidRPr="00B60B17">
        <w:t>, учитывающие ненаблюдаемую гетерогенность потребителей по отношению к спр</w:t>
      </w:r>
      <w:r w:rsidRPr="00B60B17">
        <w:t>осу на услуги системы здравоохранения</w:t>
      </w:r>
      <w:r w:rsidR="005D3E4F" w:rsidRPr="00B60B17">
        <w:t xml:space="preserve">. Цель работы – оценить эластичность потребительского спроса и величину неравенства </w:t>
      </w:r>
      <w:r w:rsidRPr="00B60B17">
        <w:t xml:space="preserve">в потреблении медицинских товаров и услуг </w:t>
      </w:r>
      <w:r w:rsidR="005D3E4F" w:rsidRPr="00B60B17">
        <w:t xml:space="preserve">по доходу. Модель оценивается </w:t>
      </w:r>
      <w:r w:rsidR="0023491C" w:rsidRPr="00B60B17">
        <w:t>согласно данным</w:t>
      </w:r>
      <w:r w:rsidR="005D3E4F" w:rsidRPr="00B60B17">
        <w:t xml:space="preserve"> панельного опроса японских домохозяйств (более 4 тыс. потребителей в 2009</w:t>
      </w:r>
      <w:r w:rsidR="00822D20" w:rsidRPr="00B60B17">
        <w:t>-2014</w:t>
      </w:r>
      <w:r w:rsidR="005D3E4F" w:rsidRPr="00B60B17">
        <w:t xml:space="preserve"> год</w:t>
      </w:r>
      <w:r w:rsidR="00822D20" w:rsidRPr="00B60B17">
        <w:t>ы</w:t>
      </w:r>
      <w:r w:rsidR="005D3E4F" w:rsidRPr="00B60B17">
        <w:t>,</w:t>
      </w:r>
      <w:r w:rsidR="00822D20" w:rsidRPr="00B60B17">
        <w:t xml:space="preserve"> предоставлены</w:t>
      </w:r>
      <w:r w:rsidR="005D3E4F" w:rsidRPr="00B60B17">
        <w:t xml:space="preserve"> Совместн</w:t>
      </w:r>
      <w:r w:rsidRPr="00B60B17">
        <w:t>ого</w:t>
      </w:r>
      <w:r w:rsidR="005D3E4F" w:rsidRPr="00B60B17">
        <w:t xml:space="preserve"> науч</w:t>
      </w:r>
      <w:r w:rsidRPr="00B60B17">
        <w:t>но-исследовательского</w:t>
      </w:r>
      <w:r w:rsidR="005D3E4F" w:rsidRPr="00B60B17">
        <w:t xml:space="preserve"> центр</w:t>
      </w:r>
      <w:r w:rsidRPr="00B60B17">
        <w:t>а</w:t>
      </w:r>
      <w:r w:rsidR="005D3E4F" w:rsidRPr="00B60B17">
        <w:t xml:space="preserve"> панельны</w:t>
      </w:r>
      <w:r w:rsidR="00822D20" w:rsidRPr="00B60B17">
        <w:t xml:space="preserve">х исследований университета </w:t>
      </w:r>
      <w:proofErr w:type="spellStart"/>
      <w:r w:rsidR="00822D20" w:rsidRPr="00B60B17">
        <w:t>Кэйо</w:t>
      </w:r>
      <w:proofErr w:type="spellEnd"/>
      <w:r w:rsidR="00822D20" w:rsidRPr="00B60B17">
        <w:t>)</w:t>
      </w:r>
      <w:r w:rsidR="005D3E4F" w:rsidRPr="00B60B17">
        <w:t xml:space="preserve">. В </w:t>
      </w:r>
      <w:r w:rsidRPr="00B60B17">
        <w:t xml:space="preserve">статье </w:t>
      </w:r>
      <w:r w:rsidR="005D3E4F" w:rsidRPr="00B60B17">
        <w:t xml:space="preserve">рассказано о различных </w:t>
      </w:r>
      <w:r w:rsidRPr="00B60B17">
        <w:t xml:space="preserve">подходах по </w:t>
      </w:r>
      <w:r w:rsidR="005D3E4F" w:rsidRPr="00B60B17">
        <w:t>измерени</w:t>
      </w:r>
      <w:r w:rsidRPr="00B60B17">
        <w:t>ю</w:t>
      </w:r>
      <w:r w:rsidR="005D3E4F" w:rsidRPr="00B60B17">
        <w:t xml:space="preserve"> неравенства</w:t>
      </w:r>
      <w:r w:rsidRPr="00B60B17">
        <w:t xml:space="preserve"> потребителей по отношению к потреблению услуг системы здравоохранения</w:t>
      </w:r>
      <w:r w:rsidR="005D3E4F" w:rsidRPr="00B60B17">
        <w:t xml:space="preserve">. </w:t>
      </w:r>
      <w:r w:rsidRPr="00B60B17">
        <w:t>П</w:t>
      </w:r>
      <w:r w:rsidR="005D3E4F" w:rsidRPr="00B60B17">
        <w:t>риведено формальное описание моделей с выделением нескольких групп п</w:t>
      </w:r>
      <w:r w:rsidRPr="00B60B17">
        <w:t>еременных, коэффициенты при которых могут рассматриваться как признак существования неравенства</w:t>
      </w:r>
      <w:r w:rsidR="005D3E4F" w:rsidRPr="00B60B17">
        <w:t xml:space="preserve"> </w:t>
      </w:r>
      <w:r w:rsidR="005D3E4F" w:rsidRPr="00B60B17">
        <w:lastRenderedPageBreak/>
        <w:t>(</w:t>
      </w:r>
      <w:r w:rsidR="005D3E4F" w:rsidRPr="00B60B17">
        <w:rPr>
          <w:lang w:val="en-US"/>
        </w:rPr>
        <w:t>need</w:t>
      </w:r>
      <w:r w:rsidR="005D3E4F" w:rsidRPr="00B60B17">
        <w:t xml:space="preserve"> </w:t>
      </w:r>
      <w:r w:rsidR="005D3E4F" w:rsidRPr="00B60B17">
        <w:rPr>
          <w:lang w:val="en-US"/>
        </w:rPr>
        <w:t>and</w:t>
      </w:r>
      <w:r w:rsidR="005D3E4F" w:rsidRPr="00B60B17">
        <w:t xml:space="preserve"> </w:t>
      </w:r>
      <w:r w:rsidR="005D3E4F" w:rsidRPr="00B60B17">
        <w:rPr>
          <w:lang w:val="en-US"/>
        </w:rPr>
        <w:t>non</w:t>
      </w:r>
      <w:r w:rsidR="005D3E4F" w:rsidRPr="00B60B17">
        <w:t>-</w:t>
      </w:r>
      <w:r w:rsidR="005D3E4F" w:rsidRPr="00B60B17">
        <w:rPr>
          <w:lang w:val="en-US"/>
        </w:rPr>
        <w:t>need</w:t>
      </w:r>
      <w:r w:rsidR="005D3E4F" w:rsidRPr="00B60B17">
        <w:t xml:space="preserve"> </w:t>
      </w:r>
      <w:r w:rsidR="005D3E4F" w:rsidRPr="00B60B17">
        <w:rPr>
          <w:lang w:val="en-US"/>
        </w:rPr>
        <w:t>variables</w:t>
      </w:r>
      <w:r w:rsidR="005D3E4F" w:rsidRPr="00B60B17">
        <w:t>). Далее описывается выборка и результаты эмпирического оценивания, включая анализ качества подгонки в линейной и обобщенной линейной моделях</w:t>
      </w:r>
      <w:r w:rsidR="000A461E" w:rsidRPr="00B60B17">
        <w:t xml:space="preserve"> с латентными классами и </w:t>
      </w:r>
      <w:r w:rsidR="005D3E4F" w:rsidRPr="00B60B17">
        <w:t xml:space="preserve">с разными семействами </w:t>
      </w:r>
      <w:r w:rsidR="0023491C" w:rsidRPr="00B60B17">
        <w:t>функций распределения</w:t>
      </w:r>
      <w:r w:rsidR="005D3E4F" w:rsidRPr="00B60B17">
        <w:t xml:space="preserve">.  </w:t>
      </w:r>
      <w:r w:rsidR="000A461E" w:rsidRPr="00B60B17">
        <w:t xml:space="preserve">Для оценки неравенства сравниваются </w:t>
      </w:r>
      <w:r w:rsidR="00C87C3F" w:rsidRPr="00B60B17">
        <w:t xml:space="preserve">коэффициенты при дихотомических переменных доходных групп в </w:t>
      </w:r>
      <w:r w:rsidR="00C87C3F" w:rsidRPr="00B60B17">
        <w:rPr>
          <w:rFonts w:eastAsiaTheme="minorEastAsia"/>
          <w:lang w:val="en-US" w:eastAsia="ja-JP"/>
        </w:rPr>
        <w:t>multi</w:t>
      </w:r>
      <w:r w:rsidR="00C87C3F" w:rsidRPr="00B60B17">
        <w:rPr>
          <w:rFonts w:eastAsiaTheme="minorEastAsia"/>
          <w:lang w:eastAsia="ja-JP"/>
        </w:rPr>
        <w:t>-</w:t>
      </w:r>
      <w:r w:rsidR="00C87C3F" w:rsidRPr="00B60B17">
        <w:rPr>
          <w:rFonts w:eastAsiaTheme="minorEastAsia"/>
          <w:lang w:val="en-US" w:eastAsia="ja-JP"/>
        </w:rPr>
        <w:t>part</w:t>
      </w:r>
      <w:r w:rsidR="00C87C3F" w:rsidRPr="00B60B17">
        <w:rPr>
          <w:rFonts w:eastAsiaTheme="minorEastAsia"/>
          <w:lang w:eastAsia="ja-JP"/>
        </w:rPr>
        <w:t xml:space="preserve"> </w:t>
      </w:r>
      <w:r w:rsidR="00C87C3F" w:rsidRPr="00B60B17">
        <w:rPr>
          <w:rFonts w:eastAsiaTheme="minorEastAsia"/>
          <w:lang w:val="en-US" w:eastAsia="ja-JP"/>
        </w:rPr>
        <w:t>models</w:t>
      </w:r>
      <w:r w:rsidR="00C87C3F" w:rsidRPr="00B60B17">
        <w:rPr>
          <w:rFonts w:eastAsiaTheme="minorEastAsia"/>
          <w:lang w:eastAsia="ja-JP"/>
        </w:rPr>
        <w:t xml:space="preserve"> (м</w:t>
      </w:r>
      <w:r w:rsidR="00C87C3F" w:rsidRPr="00B60B17">
        <w:t xml:space="preserve">ногочастных моделях, </w:t>
      </w:r>
      <w:proofErr w:type="spellStart"/>
      <w:r w:rsidR="00C87C3F" w:rsidRPr="00B60B17">
        <w:rPr>
          <w:lang w:val="en-US"/>
        </w:rPr>
        <w:t>Duan</w:t>
      </w:r>
      <w:proofErr w:type="spellEnd"/>
      <w:r w:rsidR="00C87C3F" w:rsidRPr="00B60B17">
        <w:t xml:space="preserve"> </w:t>
      </w:r>
      <w:r w:rsidR="00C87C3F" w:rsidRPr="00B60B17">
        <w:rPr>
          <w:lang w:val="en-US"/>
        </w:rPr>
        <w:t>et</w:t>
      </w:r>
      <w:r w:rsidR="00C87C3F" w:rsidRPr="00B60B17">
        <w:t xml:space="preserve"> </w:t>
      </w:r>
      <w:r w:rsidR="00C87C3F" w:rsidRPr="00B60B17">
        <w:rPr>
          <w:lang w:val="en-US"/>
        </w:rPr>
        <w:t>al</w:t>
      </w:r>
      <w:r w:rsidR="00C87C3F" w:rsidRPr="00B60B17">
        <w:t xml:space="preserve">., 1983), где отдельным образом рассматриваются потребители медицинской помощи и лекарств в стационарах и поликлиниках, а также респонденты, не имевшие расходов на медицинскую помощь и лекарства. </w:t>
      </w:r>
    </w:p>
    <w:p w:rsidR="005D3E4F" w:rsidRPr="00B60B17" w:rsidRDefault="00C87C3F" w:rsidP="00B60B17">
      <w:pPr>
        <w:spacing w:line="360" w:lineRule="auto"/>
        <w:ind w:firstLine="708"/>
        <w:jc w:val="both"/>
      </w:pPr>
      <w:r w:rsidRPr="00B60B17">
        <w:t>Результаты анализа в моделях с латентными классами показали, что коэффициенты при дихотомических переменных 20-процентных доходных групп оказываются незначимыми как в бинарных моделях обращаемости за медицинской помощью в стационарах и поликлиниках, так и в моделях, объясняющих величину медицинских расходов. В обобщенной линейной модели для расходов в поликлиниках потребители разделяются на два латентных класса. Данные результаты свидетельствуют об отсутствии неравенства по доходу для потребительского спроса на медицинскую помощь</w:t>
      </w:r>
      <w:r w:rsidR="00DA07C4">
        <w:t xml:space="preserve"> в Японии</w:t>
      </w:r>
      <w:r w:rsidRPr="00B60B17">
        <w:t>.</w:t>
      </w:r>
    </w:p>
    <w:p w:rsidR="00C87C3F" w:rsidRPr="00B60B17" w:rsidRDefault="00C87C3F" w:rsidP="00B60B17">
      <w:pPr>
        <w:pStyle w:val="ListParagraph"/>
        <w:numPr>
          <w:ilvl w:val="0"/>
          <w:numId w:val="16"/>
        </w:numPr>
        <w:spacing w:line="360" w:lineRule="auto"/>
        <w:jc w:val="both"/>
        <w:rPr>
          <w:b/>
        </w:rPr>
      </w:pPr>
      <w:proofErr w:type="spellStart"/>
      <w:r w:rsidRPr="00B60B17">
        <w:rPr>
          <w:b/>
        </w:rPr>
        <w:t>Квантильные</w:t>
      </w:r>
      <w:proofErr w:type="spellEnd"/>
      <w:r w:rsidRPr="00B60B17">
        <w:rPr>
          <w:b/>
        </w:rPr>
        <w:t xml:space="preserve"> регрессии</w:t>
      </w:r>
    </w:p>
    <w:p w:rsidR="00432AB8" w:rsidRPr="00B60B17" w:rsidRDefault="00432AB8" w:rsidP="00B60B17">
      <w:pPr>
        <w:pStyle w:val="FirstParagraph"/>
        <w:spacing w:before="0" w:after="0" w:line="360" w:lineRule="auto"/>
        <w:ind w:firstLine="708"/>
        <w:jc w:val="both"/>
        <w:rPr>
          <w:rFonts w:ascii="Times New Roman" w:hAnsi="Times New Roman" w:cs="Times New Roman"/>
          <w:lang w:val="ru-RU"/>
        </w:rPr>
      </w:pPr>
      <w:r w:rsidRPr="00B60B17">
        <w:rPr>
          <w:rFonts w:ascii="Times New Roman" w:hAnsi="Times New Roman" w:cs="Times New Roman"/>
          <w:lang w:val="ru-RU"/>
        </w:rPr>
        <w:t xml:space="preserve">Популярность МНК регрессии в прикладной эконометрике может объясняться тем, </w:t>
      </w:r>
      <w:proofErr w:type="gramStart"/>
      <w:r w:rsidRPr="00B60B17">
        <w:rPr>
          <w:rFonts w:ascii="Times New Roman" w:hAnsi="Times New Roman" w:cs="Times New Roman"/>
          <w:lang w:val="ru-RU"/>
        </w:rPr>
        <w:t>что  “</w:t>
      </w:r>
      <w:proofErr w:type="gramEnd"/>
      <w:r w:rsidRPr="00B60B17">
        <w:rPr>
          <w:rFonts w:ascii="Times New Roman" w:hAnsi="Times New Roman" w:cs="Times New Roman"/>
          <w:lang w:val="ru-RU"/>
        </w:rPr>
        <w:t>методы наименьших квадратов предлагают общий подход к анализу функций условного среднего” (</w:t>
      </w:r>
      <w:proofErr w:type="spellStart"/>
      <w:r w:rsidRPr="00B60B17">
        <w:rPr>
          <w:rFonts w:ascii="Times New Roman" w:hAnsi="Times New Roman" w:cs="Times New Roman"/>
        </w:rPr>
        <w:t>Koenker</w:t>
      </w:r>
      <w:proofErr w:type="spellEnd"/>
      <w:r w:rsidRPr="00B60B17">
        <w:rPr>
          <w:rFonts w:ascii="Times New Roman" w:hAnsi="Times New Roman" w:cs="Times New Roman"/>
          <w:lang w:val="ru-RU"/>
        </w:rPr>
        <w:t>, 2005, С. 1). Однако условное среднее не предоставляет полную информацию об условном распределении зависимой переменной. Действительно, во многих экономических приложениях исследователи могут ожидать, что “эффект объясняющей переменной может быть разным для разных сегментов генеральной совокупности’’ (</w:t>
      </w:r>
      <w:r w:rsidRPr="00B60B17">
        <w:rPr>
          <w:rFonts w:ascii="Times New Roman" w:hAnsi="Times New Roman" w:cs="Times New Roman"/>
        </w:rPr>
        <w:t>Wooldridge</w:t>
      </w:r>
      <w:r w:rsidRPr="00B60B17">
        <w:rPr>
          <w:rFonts w:ascii="Times New Roman" w:hAnsi="Times New Roman" w:cs="Times New Roman"/>
          <w:lang w:val="ru-RU"/>
        </w:rPr>
        <w:t xml:space="preserve">, 2010, С. 449). Так, при анализе </w:t>
      </w:r>
      <w:proofErr w:type="spellStart"/>
      <w:r w:rsidRPr="00B60B17">
        <w:rPr>
          <w:rFonts w:ascii="Times New Roman" w:hAnsi="Times New Roman" w:cs="Times New Roman"/>
          <w:lang w:val="ru-RU"/>
        </w:rPr>
        <w:t>логлинеаризованной</w:t>
      </w:r>
      <w:proofErr w:type="spellEnd"/>
      <w:r w:rsidRPr="00B60B17">
        <w:rPr>
          <w:rFonts w:ascii="Times New Roman" w:hAnsi="Times New Roman" w:cs="Times New Roman"/>
          <w:lang w:val="ru-RU"/>
        </w:rPr>
        <w:t xml:space="preserve"> производственной функции значение эластичности выпуска по отношению к капиталу может различаться для компаний с более высоким и менее высоким выпуском. В то же время, регрессия, анализирующая условное среднее, позволяет оценить эластичность только в среднем для всех компаний в выборке.</w:t>
      </w:r>
    </w:p>
    <w:p w:rsidR="00432AB8" w:rsidRPr="00B60B17" w:rsidRDefault="00C87C3F" w:rsidP="00B60B17">
      <w:pPr>
        <w:spacing w:line="360" w:lineRule="auto"/>
        <w:ind w:firstLine="708"/>
        <w:jc w:val="both"/>
      </w:pPr>
      <w:r w:rsidRPr="00B60B17">
        <w:t xml:space="preserve">Инструментарий </w:t>
      </w:r>
      <w:proofErr w:type="spellStart"/>
      <w:r w:rsidRPr="00B60B17">
        <w:t>квантильных</w:t>
      </w:r>
      <w:proofErr w:type="spellEnd"/>
      <w:r w:rsidRPr="00B60B17">
        <w:t xml:space="preserve"> регрессий основан на минимизации абсолютных отклонений в отличие от традиционной методологии минимизации квадратов отклонений. </w:t>
      </w:r>
    </w:p>
    <w:p w:rsidR="00703000" w:rsidRDefault="00375C07" w:rsidP="00B60B17">
      <w:pPr>
        <w:pStyle w:val="FirstParagraph"/>
        <w:spacing w:before="0" w:after="0" w:line="360" w:lineRule="auto"/>
        <w:ind w:firstLine="720"/>
        <w:jc w:val="both"/>
        <w:rPr>
          <w:rFonts w:ascii="Times New Roman" w:hAnsi="Times New Roman"/>
          <w:lang w:val="ru-RU"/>
        </w:rPr>
      </w:pPr>
      <w:r w:rsidRPr="00B60B17">
        <w:rPr>
          <w:rFonts w:ascii="Times New Roman" w:hAnsi="Times New Roman"/>
          <w:lang w:val="ru-RU"/>
        </w:rPr>
        <w:t xml:space="preserve">Обозначим </w:t>
      </w:r>
      <w:r w:rsidRPr="00B60B17">
        <w:rPr>
          <w:rFonts w:ascii="Times New Roman" w:hAnsi="Times New Roman"/>
          <w:position w:val="-12"/>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6pt" o:ole="">
            <v:imagedata r:id="rId8" o:title=""/>
          </v:shape>
          <o:OLEObject Type="Embed" ProgID="Equation.DSMT4" ShapeID="_x0000_i1025" DrawAspect="Content" ObjectID="_1705633910" r:id="rId9"/>
        </w:object>
      </w:r>
      <w:r w:rsidRPr="00B60B17">
        <w:rPr>
          <w:rFonts w:ascii="Times New Roman" w:hAnsi="Times New Roman"/>
          <w:lang w:val="ru-RU"/>
        </w:rPr>
        <w:t xml:space="preserve"> условный квантиль </w:t>
      </w:r>
      <w:r w:rsidRPr="00B60B17">
        <w:rPr>
          <w:rFonts w:ascii="Times New Roman" w:hAnsi="Times New Roman"/>
          <w:position w:val="-6"/>
        </w:rPr>
        <w:object w:dxaOrig="180" w:dyaOrig="200">
          <v:shape id="_x0000_i1026" type="#_x0000_t75" style="width:9pt;height:9.9pt" o:ole="">
            <v:imagedata r:id="rId10" o:title=""/>
          </v:shape>
          <o:OLEObject Type="Embed" ProgID="Equation.DSMT4" ShapeID="_x0000_i1026" DrawAspect="Content" ObjectID="_1705633911" r:id="rId11"/>
        </w:object>
      </w:r>
      <w:r w:rsidRPr="00B60B17">
        <w:rPr>
          <w:rFonts w:ascii="Times New Roman" w:hAnsi="Times New Roman"/>
          <w:lang w:val="ru-RU"/>
        </w:rPr>
        <w:t xml:space="preserve"> непрерывной переменной </w:t>
      </w:r>
      <w:r w:rsidRPr="00B60B17">
        <w:rPr>
          <w:rFonts w:ascii="Times New Roman" w:hAnsi="Times New Roman"/>
          <w:position w:val="-4"/>
        </w:rPr>
        <w:object w:dxaOrig="220" w:dyaOrig="240">
          <v:shape id="_x0000_i1027" type="#_x0000_t75" style="width:10.5pt;height:12pt" o:ole="">
            <v:imagedata r:id="rId12" o:title=""/>
          </v:shape>
          <o:OLEObject Type="Embed" ProgID="Equation.DSMT4" ShapeID="_x0000_i1027" DrawAspect="Content" ObjectID="_1705633912" r:id="rId13"/>
        </w:object>
      </w:r>
      <w:r w:rsidRPr="00B60B17">
        <w:rPr>
          <w:rFonts w:ascii="Times New Roman" w:hAnsi="Times New Roman"/>
          <w:lang w:val="ru-RU"/>
        </w:rPr>
        <w:t xml:space="preserve"> при фиксированных значениях  </w:t>
      </w:r>
      <w:proofErr w:type="spellStart"/>
      <w:r w:rsidRPr="00B60B17">
        <w:rPr>
          <w:rFonts w:ascii="Times New Roman" w:hAnsi="Times New Roman"/>
          <w:lang w:val="ru-RU"/>
        </w:rPr>
        <w:t>ковариат</w:t>
      </w:r>
      <w:proofErr w:type="spellEnd"/>
      <w:r w:rsidRPr="00B60B17">
        <w:rPr>
          <w:rFonts w:ascii="Times New Roman" w:hAnsi="Times New Roman"/>
          <w:lang w:val="ru-RU"/>
        </w:rPr>
        <w:t xml:space="preserve"> </w:t>
      </w:r>
      <w:r w:rsidRPr="00B60B17">
        <w:rPr>
          <w:rFonts w:ascii="Times New Roman" w:hAnsi="Times New Roman"/>
          <w:position w:val="-6"/>
        </w:rPr>
        <w:object w:dxaOrig="200" w:dyaOrig="200">
          <v:shape id="_x0000_i1028" type="#_x0000_t75" style="width:9.9pt;height:9.9pt" o:ole="">
            <v:imagedata r:id="rId14" o:title=""/>
          </v:shape>
          <o:OLEObject Type="Embed" ProgID="Equation.DSMT4" ShapeID="_x0000_i1028" DrawAspect="Content" ObjectID="_1705633913" r:id="rId15"/>
        </w:object>
      </w:r>
      <w:r w:rsidR="00703000">
        <w:rPr>
          <w:rFonts w:ascii="Times New Roman" w:hAnsi="Times New Roman"/>
          <w:lang w:val="ru-RU"/>
        </w:rPr>
        <w:t>.</w:t>
      </w:r>
      <w:r w:rsidRPr="00B60B17">
        <w:rPr>
          <w:rFonts w:ascii="Times New Roman" w:hAnsi="Times New Roman"/>
          <w:lang w:val="ru-RU"/>
        </w:rPr>
        <w:t xml:space="preserve"> </w:t>
      </w:r>
    </w:p>
    <w:p w:rsidR="00375C07" w:rsidRPr="00B60B17" w:rsidRDefault="00375C07" w:rsidP="00B60B17">
      <w:pPr>
        <w:pStyle w:val="FirstParagraph"/>
        <w:spacing w:before="0" w:after="0" w:line="360" w:lineRule="auto"/>
        <w:ind w:firstLine="720"/>
        <w:jc w:val="both"/>
        <w:rPr>
          <w:rFonts w:ascii="Times New Roman" w:hAnsi="Times New Roman"/>
          <w:lang w:val="ru-RU"/>
        </w:rPr>
      </w:pPr>
      <w:r w:rsidRPr="00B60B17">
        <w:rPr>
          <w:rFonts w:ascii="Times New Roman" w:hAnsi="Times New Roman"/>
          <w:lang w:val="ru-RU"/>
        </w:rPr>
        <w:t xml:space="preserve">По определению, для </w:t>
      </w:r>
      <w:r w:rsidRPr="00B60B17">
        <w:rPr>
          <w:rFonts w:ascii="Times New Roman" w:hAnsi="Times New Roman"/>
          <w:position w:val="-6"/>
        </w:rPr>
        <w:object w:dxaOrig="800" w:dyaOrig="260">
          <v:shape id="_x0000_i1029" type="#_x0000_t75" style="width:39.9pt;height:12.9pt" o:ole="">
            <v:imagedata r:id="rId16" o:title=""/>
          </v:shape>
          <o:OLEObject Type="Embed" ProgID="Equation.DSMT4" ShapeID="_x0000_i1029" DrawAspect="Content" ObjectID="_1705633914" r:id="rId17"/>
        </w:object>
      </w:r>
      <w:r w:rsidRPr="00B60B17">
        <w:rPr>
          <w:rFonts w:ascii="Times New Roman" w:hAnsi="Times New Roman"/>
          <w:lang w:val="ru-RU"/>
        </w:rPr>
        <w:t xml:space="preserve">, </w:t>
      </w:r>
      <w:r w:rsidRPr="00B60B17">
        <w:rPr>
          <w:rFonts w:ascii="Times New Roman" w:hAnsi="Times New Roman"/>
          <w:position w:val="-16"/>
        </w:rPr>
        <w:object w:dxaOrig="2780" w:dyaOrig="440">
          <v:shape id="_x0000_i1030" type="#_x0000_t75" style="width:138.3pt;height:21.9pt" o:ole="">
            <v:imagedata r:id="rId18" o:title=""/>
          </v:shape>
          <o:OLEObject Type="Embed" ProgID="Equation.DSMT4" ShapeID="_x0000_i1030" DrawAspect="Content" ObjectID="_1705633915" r:id="rId19"/>
        </w:object>
      </w:r>
      <w:r w:rsidRPr="00B60B17">
        <w:rPr>
          <w:rFonts w:ascii="Times New Roman" w:hAnsi="Times New Roman"/>
          <w:lang w:val="ru-RU"/>
        </w:rPr>
        <w:t xml:space="preserve">. Линейная </w:t>
      </w:r>
      <w:proofErr w:type="spellStart"/>
      <w:r w:rsidRPr="00B60B17">
        <w:rPr>
          <w:rFonts w:ascii="Times New Roman" w:hAnsi="Times New Roman"/>
          <w:lang w:val="ru-RU"/>
        </w:rPr>
        <w:t>квантильная</w:t>
      </w:r>
      <w:proofErr w:type="spellEnd"/>
      <w:r w:rsidRPr="00B60B17">
        <w:rPr>
          <w:rFonts w:ascii="Times New Roman" w:hAnsi="Times New Roman"/>
          <w:lang w:val="ru-RU"/>
        </w:rPr>
        <w:t xml:space="preserve"> регрессия рассматривает условный квантиль </w:t>
      </w:r>
      <w:r w:rsidRPr="00B60B17">
        <w:rPr>
          <w:rFonts w:ascii="Times New Roman" w:hAnsi="Times New Roman"/>
          <w:position w:val="-6"/>
        </w:rPr>
        <w:object w:dxaOrig="180" w:dyaOrig="200">
          <v:shape id="_x0000_i1031" type="#_x0000_t75" style="width:9pt;height:9.9pt" o:ole="">
            <v:imagedata r:id="rId10" o:title=""/>
          </v:shape>
          <o:OLEObject Type="Embed" ProgID="Equation.DSMT4" ShapeID="_x0000_i1031" DrawAspect="Content" ObjectID="_1705633916" r:id="rId20"/>
        </w:object>
      </w:r>
      <w:r w:rsidRPr="00B60B17">
        <w:rPr>
          <w:rFonts w:ascii="Times New Roman" w:hAnsi="Times New Roman"/>
          <w:lang w:val="ru-RU"/>
        </w:rPr>
        <w:t xml:space="preserve"> непрерывной переменной </w:t>
      </w:r>
      <w:r w:rsidRPr="00B60B17">
        <w:rPr>
          <w:rFonts w:ascii="Times New Roman" w:hAnsi="Times New Roman"/>
          <w:position w:val="-4"/>
        </w:rPr>
        <w:object w:dxaOrig="220" w:dyaOrig="240">
          <v:shape id="_x0000_i1032" type="#_x0000_t75" style="width:10.5pt;height:12pt" o:ole="">
            <v:imagedata r:id="rId21" o:title=""/>
          </v:shape>
          <o:OLEObject Type="Embed" ProgID="Equation.DSMT4" ShapeID="_x0000_i1032" DrawAspect="Content" ObjectID="_1705633917" r:id="rId22"/>
        </w:object>
      </w:r>
      <w:r w:rsidRPr="00B60B17">
        <w:rPr>
          <w:rFonts w:ascii="Times New Roman" w:hAnsi="Times New Roman"/>
          <w:lang w:val="ru-RU"/>
        </w:rPr>
        <w:t xml:space="preserve"> в качестве линей </w:t>
      </w:r>
      <w:r w:rsidRPr="00B60B17">
        <w:rPr>
          <w:rFonts w:ascii="Times New Roman" w:hAnsi="Times New Roman"/>
          <w:lang w:val="ru-RU"/>
        </w:rPr>
        <w:lastRenderedPageBreak/>
        <w:t xml:space="preserve">функции </w:t>
      </w:r>
      <w:proofErr w:type="spellStart"/>
      <w:r w:rsidRPr="00B60B17">
        <w:rPr>
          <w:rFonts w:ascii="Times New Roman" w:hAnsi="Times New Roman"/>
          <w:lang w:val="ru-RU"/>
        </w:rPr>
        <w:t>ковариат</w:t>
      </w:r>
      <w:proofErr w:type="spellEnd"/>
      <w:r w:rsidRPr="00B60B17">
        <w:rPr>
          <w:rFonts w:ascii="Times New Roman" w:hAnsi="Times New Roman"/>
          <w:lang w:val="ru-RU"/>
        </w:rPr>
        <w:t xml:space="preserve"> </w:t>
      </w:r>
      <w:r w:rsidRPr="00B60B17">
        <w:rPr>
          <w:rFonts w:ascii="Times New Roman" w:hAnsi="Times New Roman"/>
          <w:position w:val="-4"/>
        </w:rPr>
        <w:object w:dxaOrig="260" w:dyaOrig="240">
          <v:shape id="_x0000_i1033" type="#_x0000_t75" style="width:12.9pt;height:12pt" o:ole="">
            <v:imagedata r:id="rId23" o:title=""/>
          </v:shape>
          <o:OLEObject Type="Embed" ProgID="Equation.DSMT4" ShapeID="_x0000_i1033" DrawAspect="Content" ObjectID="_1705633918" r:id="rId24"/>
        </w:object>
      </w:r>
      <w:r w:rsidRPr="00B60B17">
        <w:rPr>
          <w:rFonts w:ascii="Times New Roman" w:hAnsi="Times New Roman"/>
          <w:lang w:val="ru-RU"/>
        </w:rPr>
        <w:t xml:space="preserve">. </w:t>
      </w:r>
      <w:r w:rsidR="00703000">
        <w:rPr>
          <w:rFonts w:ascii="Times New Roman" w:hAnsi="Times New Roman"/>
          <w:lang w:val="ru-RU"/>
        </w:rPr>
        <w:t>М</w:t>
      </w:r>
      <w:r w:rsidRPr="00B60B17">
        <w:rPr>
          <w:rFonts w:ascii="Times New Roman" w:hAnsi="Times New Roman"/>
          <w:lang w:val="ru-RU"/>
        </w:rPr>
        <w:t xml:space="preserve">одель была сформулирована в работе </w:t>
      </w:r>
      <w:proofErr w:type="spellStart"/>
      <w:r w:rsidRPr="00B60B17">
        <w:rPr>
          <w:rFonts w:ascii="Times New Roman" w:hAnsi="Times New Roman"/>
        </w:rPr>
        <w:t>Koenker</w:t>
      </w:r>
      <w:proofErr w:type="spellEnd"/>
      <w:r w:rsidR="00CE7F3E" w:rsidRPr="007F71B9">
        <w:rPr>
          <w:rFonts w:ascii="Times New Roman" w:hAnsi="Times New Roman"/>
          <w:lang w:val="ru-RU"/>
        </w:rPr>
        <w:t xml:space="preserve"> </w:t>
      </w:r>
      <w:r w:rsidR="00CE7F3E">
        <w:rPr>
          <w:rFonts w:ascii="Times New Roman" w:eastAsiaTheme="minorEastAsia" w:hAnsi="Times New Roman"/>
          <w:lang w:eastAsia="ja-JP"/>
        </w:rPr>
        <w:t>and</w:t>
      </w:r>
      <w:r w:rsidRPr="00B60B17">
        <w:rPr>
          <w:rFonts w:ascii="Times New Roman" w:hAnsi="Times New Roman"/>
          <w:lang w:val="ru-RU"/>
        </w:rPr>
        <w:t xml:space="preserve"> </w:t>
      </w:r>
      <w:r w:rsidRPr="00B60B17">
        <w:rPr>
          <w:rFonts w:ascii="Times New Roman" w:hAnsi="Times New Roman"/>
        </w:rPr>
        <w:t>Bassett</w:t>
      </w:r>
      <w:r w:rsidRPr="00B60B17">
        <w:rPr>
          <w:rFonts w:ascii="Times New Roman" w:hAnsi="Times New Roman"/>
          <w:lang w:val="ru-RU"/>
        </w:rPr>
        <w:t xml:space="preserve"> (1978)</w:t>
      </w:r>
      <w:r w:rsidR="00703000">
        <w:rPr>
          <w:rFonts w:ascii="Times New Roman" w:hAnsi="Times New Roman"/>
          <w:lang w:val="ru-RU"/>
        </w:rPr>
        <w:t xml:space="preserve"> и </w:t>
      </w:r>
      <w:r w:rsidRPr="00B60B17">
        <w:rPr>
          <w:rFonts w:ascii="Times New Roman" w:hAnsi="Times New Roman"/>
          <w:lang w:val="ru-RU"/>
        </w:rPr>
        <w:t>может быть описана следующим образом:</w:t>
      </w:r>
    </w:p>
    <w:p w:rsidR="00375C07" w:rsidRPr="00B60B17" w:rsidRDefault="00375C07" w:rsidP="00B60B17">
      <w:pPr>
        <w:pStyle w:val="MTDisplayEquation"/>
        <w:tabs>
          <w:tab w:val="clear" w:pos="4680"/>
          <w:tab w:val="clear" w:pos="9360"/>
        </w:tabs>
        <w:spacing w:before="0" w:after="0" w:line="360" w:lineRule="auto"/>
        <w:jc w:val="center"/>
        <w:rPr>
          <w:rFonts w:ascii="Times New Roman" w:hAnsi="Times New Roman"/>
          <w:lang w:val="ru-RU"/>
        </w:rPr>
      </w:pPr>
      <w:r w:rsidRPr="00B60B17">
        <w:rPr>
          <w:rFonts w:ascii="Times New Roman" w:hAnsi="Times New Roman"/>
          <w:position w:val="-12"/>
        </w:rPr>
        <w:object w:dxaOrig="1280" w:dyaOrig="360">
          <v:shape id="_x0000_i1034" type="#_x0000_t75" style="width:63.6pt;height:18.6pt" o:ole="">
            <v:imagedata r:id="rId25" o:title=""/>
          </v:shape>
          <o:OLEObject Type="Embed" ProgID="Equation.DSMT4" ShapeID="_x0000_i1034" DrawAspect="Content" ObjectID="_1705633919" r:id="rId26"/>
        </w:object>
      </w:r>
      <w:r w:rsidRPr="00B60B17">
        <w:rPr>
          <w:rFonts w:ascii="Times New Roman" w:hAnsi="Times New Roman"/>
          <w:lang w:val="ru-RU"/>
        </w:rPr>
        <w:t xml:space="preserve">;   </w:t>
      </w:r>
      <w:r w:rsidRPr="00B60B17">
        <w:rPr>
          <w:rFonts w:ascii="Times New Roman" w:hAnsi="Times New Roman"/>
          <w:position w:val="-12"/>
        </w:rPr>
        <w:object w:dxaOrig="3600" w:dyaOrig="360">
          <v:shape id="_x0000_i1035" type="#_x0000_t75" style="width:180pt;height:18.6pt" o:ole="">
            <v:imagedata r:id="rId27" o:title=""/>
          </v:shape>
          <o:OLEObject Type="Embed" ProgID="Equation.DSMT4" ShapeID="_x0000_i1035" DrawAspect="Content" ObjectID="_1705633920" r:id="rId28"/>
        </w:object>
      </w:r>
      <w:r w:rsidRPr="00B60B17">
        <w:rPr>
          <w:rFonts w:ascii="Times New Roman" w:hAnsi="Times New Roman"/>
          <w:lang w:val="ru-RU"/>
        </w:rPr>
        <w:t>,</w:t>
      </w:r>
    </w:p>
    <w:p w:rsidR="00375C07" w:rsidRPr="00B60B17" w:rsidRDefault="00375C07" w:rsidP="00B60B17">
      <w:pPr>
        <w:pStyle w:val="FirstParagraph"/>
        <w:spacing w:before="0" w:after="0" w:line="360" w:lineRule="auto"/>
        <w:jc w:val="both"/>
        <w:rPr>
          <w:rFonts w:ascii="Times New Roman" w:hAnsi="Times New Roman"/>
          <w:lang w:val="ru-RU"/>
        </w:rPr>
      </w:pPr>
      <w:r w:rsidRPr="00B60B17">
        <w:rPr>
          <w:rFonts w:ascii="Times New Roman" w:hAnsi="Times New Roman"/>
          <w:lang w:val="ru-RU"/>
        </w:rPr>
        <w:t xml:space="preserve">где </w:t>
      </w:r>
      <w:r w:rsidRPr="00B60B17">
        <w:rPr>
          <w:rFonts w:ascii="Times New Roman" w:hAnsi="Times New Roman"/>
          <w:position w:val="-6"/>
        </w:rPr>
        <w:object w:dxaOrig="180" w:dyaOrig="200">
          <v:shape id="_x0000_i1036" type="#_x0000_t75" style="width:9pt;height:9.9pt" o:ole="">
            <v:imagedata r:id="rId10" o:title=""/>
          </v:shape>
          <o:OLEObject Type="Embed" ProgID="Equation.DSMT4" ShapeID="_x0000_i1036" DrawAspect="Content" ObjectID="_1705633921" r:id="rId29"/>
        </w:object>
      </w:r>
      <w:r w:rsidRPr="00B60B17">
        <w:rPr>
          <w:rFonts w:ascii="Times New Roman" w:hAnsi="Times New Roman"/>
          <w:lang w:val="ru-RU"/>
        </w:rPr>
        <w:t xml:space="preserve"> это значение заданного квантиля условного распределения зависимой переменной </w:t>
      </w:r>
      <w:r w:rsidRPr="00B60B17">
        <w:rPr>
          <w:rFonts w:ascii="Times New Roman" w:hAnsi="Times New Roman"/>
          <w:position w:val="-4"/>
        </w:rPr>
        <w:object w:dxaOrig="220" w:dyaOrig="240">
          <v:shape id="_x0000_i1037" type="#_x0000_t75" style="width:10.5pt;height:12pt" o:ole="">
            <v:imagedata r:id="rId30" o:title=""/>
          </v:shape>
          <o:OLEObject Type="Embed" ProgID="Equation.DSMT4" ShapeID="_x0000_i1037" DrawAspect="Content" ObjectID="_1705633922" r:id="rId31"/>
        </w:object>
      </w:r>
      <w:r w:rsidRPr="00B60B17">
        <w:rPr>
          <w:rFonts w:ascii="Times New Roman" w:hAnsi="Times New Roman"/>
          <w:lang w:val="ru-RU"/>
        </w:rPr>
        <w:t xml:space="preserve"> для наблюдения </w:t>
      </w:r>
      <w:r w:rsidRPr="00B60B17">
        <w:rPr>
          <w:rFonts w:ascii="Times New Roman" w:hAnsi="Times New Roman"/>
          <w:position w:val="-6"/>
        </w:rPr>
        <w:object w:dxaOrig="139" w:dyaOrig="260">
          <v:shape id="_x0000_i1038" type="#_x0000_t75" style="width:6.9pt;height:12.9pt" o:ole="">
            <v:imagedata r:id="rId32" o:title=""/>
          </v:shape>
          <o:OLEObject Type="Embed" ProgID="Equation.DSMT4" ShapeID="_x0000_i1038" DrawAspect="Content" ObjectID="_1705633923" r:id="rId33"/>
        </w:object>
      </w:r>
      <w:r w:rsidRPr="00B60B17">
        <w:rPr>
          <w:rFonts w:ascii="Times New Roman" w:hAnsi="Times New Roman"/>
          <w:lang w:val="ru-RU"/>
        </w:rPr>
        <w:t xml:space="preserve">, </w:t>
      </w:r>
      <w:r w:rsidRPr="00B60B17">
        <w:rPr>
          <w:rFonts w:ascii="Times New Roman" w:hAnsi="Times New Roman"/>
          <w:position w:val="-4"/>
        </w:rPr>
        <w:object w:dxaOrig="260" w:dyaOrig="240">
          <v:shape id="_x0000_i1039" type="#_x0000_t75" style="width:12.9pt;height:12pt" o:ole="">
            <v:imagedata r:id="rId34" o:title=""/>
          </v:shape>
          <o:OLEObject Type="Embed" ProgID="Equation.DSMT4" ShapeID="_x0000_i1039" DrawAspect="Content" ObjectID="_1705633924" r:id="rId35"/>
        </w:object>
      </w:r>
      <w:r w:rsidRPr="00B60B17">
        <w:rPr>
          <w:rFonts w:ascii="Times New Roman" w:hAnsi="Times New Roman"/>
          <w:lang w:val="ru-RU"/>
        </w:rPr>
        <w:t xml:space="preserve"> это вектор экзогенных переменных,  </w:t>
      </w:r>
      <w:r w:rsidRPr="00B60B17">
        <w:rPr>
          <w:rFonts w:ascii="Times New Roman" w:hAnsi="Times New Roman"/>
          <w:position w:val="-12"/>
        </w:rPr>
        <w:object w:dxaOrig="1780" w:dyaOrig="360">
          <v:shape id="_x0000_i1040" type="#_x0000_t75" style="width:88.5pt;height:18.6pt" o:ole="">
            <v:imagedata r:id="rId36" o:title=""/>
          </v:shape>
          <o:OLEObject Type="Embed" ProgID="Equation.DSMT4" ShapeID="_x0000_i1040" DrawAspect="Content" ObjectID="_1705633925" r:id="rId37"/>
        </w:object>
      </w:r>
      <w:r w:rsidRPr="00B60B17">
        <w:rPr>
          <w:rFonts w:ascii="Times New Roman" w:hAnsi="Times New Roman"/>
          <w:lang w:val="ru-RU"/>
        </w:rPr>
        <w:t xml:space="preserve">, </w:t>
      </w:r>
      <w:r w:rsidRPr="00B60B17">
        <w:rPr>
          <w:rFonts w:ascii="Times New Roman" w:hAnsi="Times New Roman"/>
          <w:position w:val="-8"/>
        </w:rPr>
        <w:object w:dxaOrig="859" w:dyaOrig="279">
          <v:shape id="_x0000_i1041" type="#_x0000_t75" style="width:42.9pt;height:14.1pt" o:ole="">
            <v:imagedata r:id="rId38" o:title=""/>
          </v:shape>
          <o:OLEObject Type="Embed" ProgID="Equation.DSMT4" ShapeID="_x0000_i1041" DrawAspect="Content" ObjectID="_1705633926" r:id="rId39"/>
        </w:object>
      </w:r>
      <w:r w:rsidRPr="00B60B17">
        <w:rPr>
          <w:rFonts w:ascii="Times New Roman" w:hAnsi="Times New Roman"/>
          <w:lang w:val="ru-RU"/>
        </w:rPr>
        <w:t>.</w:t>
      </w:r>
    </w:p>
    <w:p w:rsidR="00375C07" w:rsidRPr="00B60B17" w:rsidRDefault="00375C07" w:rsidP="00B60B17">
      <w:pPr>
        <w:pStyle w:val="BodyText"/>
        <w:spacing w:after="0" w:line="360" w:lineRule="auto"/>
        <w:ind w:firstLine="720"/>
        <w:jc w:val="both"/>
      </w:pPr>
      <w:r w:rsidRPr="00B60B17">
        <w:t xml:space="preserve">Иными словами, </w:t>
      </w:r>
      <w:r w:rsidRPr="00B60B17">
        <w:rPr>
          <w:position w:val="-12"/>
        </w:rPr>
        <w:object w:dxaOrig="2240" w:dyaOrig="360">
          <v:shape id="_x0000_i1042" type="#_x0000_t75" style="width:113.1pt;height:18.6pt" o:ole="">
            <v:imagedata r:id="rId40" o:title=""/>
          </v:shape>
          <o:OLEObject Type="Embed" ProgID="Equation.DSMT4" ShapeID="_x0000_i1042" DrawAspect="Content" ObjectID="_1705633927" r:id="rId41"/>
        </w:object>
      </w:r>
      <w:r w:rsidRPr="00B60B17">
        <w:t xml:space="preserve"> для каждого </w:t>
      </w:r>
      <w:r w:rsidRPr="00B60B17">
        <w:rPr>
          <w:position w:val="-12"/>
        </w:rPr>
        <w:object w:dxaOrig="820" w:dyaOrig="360">
          <v:shape id="_x0000_i1043" type="#_x0000_t75" style="width:41.1pt;height:18.6pt" o:ole="">
            <v:imagedata r:id="rId42" o:title=""/>
          </v:shape>
          <o:OLEObject Type="Embed" ProgID="Equation.DSMT4" ShapeID="_x0000_i1043" DrawAspect="Content" ObjectID="_1705633928" r:id="rId43"/>
        </w:object>
      </w:r>
      <w:r w:rsidRPr="00B60B17">
        <w:t>.</w:t>
      </w:r>
    </w:p>
    <w:p w:rsidR="00375C07" w:rsidRPr="00B60B17" w:rsidRDefault="00375C07" w:rsidP="00B60B17">
      <w:pPr>
        <w:pStyle w:val="BodyText"/>
        <w:spacing w:after="0" w:line="360" w:lineRule="auto"/>
        <w:ind w:firstLine="720"/>
        <w:jc w:val="both"/>
      </w:pPr>
      <w:r w:rsidRPr="00B60B17">
        <w:t xml:space="preserve">Для получения состоятельной оценки </w:t>
      </w:r>
      <w:r w:rsidRPr="00B60B17">
        <w:rPr>
          <w:position w:val="-10"/>
        </w:rPr>
        <w:object w:dxaOrig="240" w:dyaOrig="300">
          <v:shape id="_x0000_i1044" type="#_x0000_t75" style="width:12pt;height:15pt" o:ole="">
            <v:imagedata r:id="rId44" o:title=""/>
          </v:shape>
          <o:OLEObject Type="Embed" ProgID="Equation.DSMT4" ShapeID="_x0000_i1044" DrawAspect="Content" ObjectID="_1705633929" r:id="rId45"/>
        </w:object>
      </w:r>
      <w:r w:rsidRPr="00B60B17">
        <w:t xml:space="preserve"> необходимо найти минимум целевой функции </w:t>
      </w:r>
      <w:r w:rsidRPr="00B60B17">
        <w:rPr>
          <w:position w:val="-10"/>
        </w:rPr>
        <w:object w:dxaOrig="300" w:dyaOrig="320">
          <v:shape id="_x0000_i1045" type="#_x0000_t75" style="width:15pt;height:15.6pt" o:ole="">
            <v:imagedata r:id="rId46" o:title=""/>
          </v:shape>
          <o:OLEObject Type="Embed" ProgID="Equation.DSMT4" ShapeID="_x0000_i1045" DrawAspect="Content" ObjectID="_1705633930" r:id="rId47"/>
        </w:object>
      </w:r>
    </w:p>
    <w:p w:rsidR="00375C07" w:rsidRPr="00B60B17" w:rsidRDefault="00375C07" w:rsidP="00B60B17">
      <w:pPr>
        <w:pStyle w:val="MTDisplayEquation"/>
        <w:tabs>
          <w:tab w:val="clear" w:pos="4680"/>
          <w:tab w:val="clear" w:pos="9360"/>
        </w:tabs>
        <w:spacing w:before="0" w:after="0" w:line="360" w:lineRule="auto"/>
        <w:jc w:val="right"/>
        <w:rPr>
          <w:rFonts w:ascii="Times New Roman" w:hAnsi="Times New Roman"/>
          <w:lang w:val="ru-RU"/>
        </w:rPr>
      </w:pPr>
      <w:r w:rsidRPr="00B60B17">
        <w:rPr>
          <w:rFonts w:ascii="Times New Roman" w:hAnsi="Times New Roman"/>
          <w:position w:val="-26"/>
        </w:rPr>
        <w:object w:dxaOrig="2659" w:dyaOrig="639">
          <v:shape id="_x0000_i1046" type="#_x0000_t75" style="width:132.9pt;height:33pt" o:ole="">
            <v:imagedata r:id="rId48" o:title=""/>
          </v:shape>
          <o:OLEObject Type="Embed" ProgID="Equation.DSMT4" ShapeID="_x0000_i1046" DrawAspect="Content" ObjectID="_1705633931" r:id="rId49"/>
        </w:object>
      </w:r>
      <w:r w:rsidRPr="00B60B17">
        <w:rPr>
          <w:rFonts w:ascii="Times New Roman" w:hAnsi="Times New Roman"/>
          <w:lang w:val="ru-RU"/>
        </w:rPr>
        <w:t>.</w:t>
      </w:r>
      <w:r w:rsidRPr="00B60B17">
        <w:rPr>
          <w:rFonts w:ascii="Times New Roman" w:hAnsi="Times New Roman"/>
          <w:lang w:val="ru-RU"/>
        </w:rPr>
        <w:tab/>
      </w:r>
      <w:r w:rsidRPr="00B60B17">
        <w:rPr>
          <w:rFonts w:ascii="Times New Roman" w:hAnsi="Times New Roman"/>
          <w:lang w:val="ru-RU"/>
        </w:rPr>
        <w:tab/>
      </w:r>
      <w:r w:rsidRPr="00B60B17">
        <w:rPr>
          <w:rFonts w:ascii="Times New Roman" w:hAnsi="Times New Roman"/>
          <w:lang w:val="ru-RU"/>
        </w:rPr>
        <w:tab/>
      </w:r>
      <w:r w:rsidRPr="00B60B17">
        <w:rPr>
          <w:rFonts w:ascii="Times New Roman" w:hAnsi="Times New Roman"/>
          <w:lang w:val="ru-RU"/>
        </w:rPr>
        <w:tab/>
      </w:r>
      <w:r w:rsidRPr="00B60B17">
        <w:rPr>
          <w:rFonts w:ascii="Times New Roman" w:hAnsi="Times New Roman"/>
          <w:lang w:val="ru-RU"/>
        </w:rPr>
        <w:tab/>
        <w:t>(1)</w:t>
      </w:r>
    </w:p>
    <w:p w:rsidR="00375C07" w:rsidRPr="00B60B17" w:rsidRDefault="00375C07" w:rsidP="00B60B17">
      <w:pPr>
        <w:pStyle w:val="FirstParagraph"/>
        <w:spacing w:before="0" w:after="0" w:line="360" w:lineRule="auto"/>
        <w:ind w:firstLine="720"/>
        <w:jc w:val="both"/>
        <w:rPr>
          <w:rFonts w:ascii="Times New Roman" w:hAnsi="Times New Roman"/>
          <w:lang w:val="ru-RU"/>
        </w:rPr>
      </w:pPr>
      <w:r w:rsidRPr="00B60B17">
        <w:rPr>
          <w:rFonts w:ascii="Times New Roman" w:hAnsi="Times New Roman"/>
          <w:lang w:val="ru-RU"/>
        </w:rPr>
        <w:t xml:space="preserve">Здесь </w:t>
      </w:r>
      <w:r w:rsidRPr="00B60B17">
        <w:rPr>
          <w:rFonts w:ascii="Times New Roman" w:hAnsi="Times New Roman"/>
          <w:position w:val="-12"/>
        </w:rPr>
        <w:object w:dxaOrig="540" w:dyaOrig="360">
          <v:shape id="_x0000_i1047" type="#_x0000_t75" style="width:27.6pt;height:18.6pt" o:ole="">
            <v:imagedata r:id="rId50" o:title=""/>
          </v:shape>
          <o:OLEObject Type="Embed" ProgID="Equation.DSMT4" ShapeID="_x0000_i1047" DrawAspect="Content" ObjectID="_1705633932" r:id="rId51"/>
        </w:object>
      </w:r>
      <w:r w:rsidRPr="00B60B17">
        <w:rPr>
          <w:rFonts w:ascii="Times New Roman" w:hAnsi="Times New Roman"/>
          <w:lang w:val="ru-RU"/>
        </w:rPr>
        <w:t xml:space="preserve"> это функция потерь, введенная в работе </w:t>
      </w:r>
      <w:proofErr w:type="spellStart"/>
      <w:r w:rsidRPr="00B60B17">
        <w:rPr>
          <w:rFonts w:ascii="Times New Roman" w:hAnsi="Times New Roman"/>
        </w:rPr>
        <w:t>Koenker</w:t>
      </w:r>
      <w:proofErr w:type="spellEnd"/>
      <w:r w:rsidRPr="00B60B17">
        <w:rPr>
          <w:rFonts w:ascii="Times New Roman" w:hAnsi="Times New Roman"/>
          <w:lang w:val="ru-RU"/>
        </w:rPr>
        <w:t xml:space="preserve"> </w:t>
      </w:r>
      <w:r w:rsidRPr="00B60B17">
        <w:rPr>
          <w:rFonts w:ascii="Times New Roman" w:hAnsi="Times New Roman"/>
        </w:rPr>
        <w:t>and</w:t>
      </w:r>
      <w:r w:rsidRPr="00B60B17">
        <w:rPr>
          <w:rFonts w:ascii="Times New Roman" w:hAnsi="Times New Roman"/>
          <w:lang w:val="ru-RU"/>
        </w:rPr>
        <w:t xml:space="preserve"> </w:t>
      </w:r>
      <w:r w:rsidRPr="00B60B17">
        <w:rPr>
          <w:rFonts w:ascii="Times New Roman" w:hAnsi="Times New Roman"/>
        </w:rPr>
        <w:t>Bassett</w:t>
      </w:r>
      <w:r w:rsidRPr="00B60B17">
        <w:rPr>
          <w:rFonts w:ascii="Times New Roman" w:hAnsi="Times New Roman"/>
          <w:lang w:val="ru-RU"/>
        </w:rPr>
        <w:t xml:space="preserve"> (1978):</w:t>
      </w:r>
    </w:p>
    <w:p w:rsidR="00375C07" w:rsidRPr="00B60B17" w:rsidRDefault="00375C07" w:rsidP="00B60B17">
      <w:pPr>
        <w:pStyle w:val="MTDisplayEquation"/>
        <w:tabs>
          <w:tab w:val="clear" w:pos="4680"/>
          <w:tab w:val="clear" w:pos="9360"/>
        </w:tabs>
        <w:spacing w:before="0" w:after="0" w:line="360" w:lineRule="auto"/>
        <w:jc w:val="center"/>
        <w:rPr>
          <w:rFonts w:ascii="Times New Roman" w:hAnsi="Times New Roman"/>
        </w:rPr>
      </w:pPr>
      <w:r w:rsidRPr="00B60B17">
        <w:rPr>
          <w:rFonts w:ascii="Times New Roman" w:hAnsi="Times New Roman"/>
          <w:position w:val="-30"/>
        </w:rPr>
        <w:object w:dxaOrig="4260" w:dyaOrig="700">
          <v:shape id="_x0000_i1048" type="#_x0000_t75" style="width:214.2pt;height:35.4pt" o:ole="">
            <v:imagedata r:id="rId52" o:title=""/>
          </v:shape>
          <o:OLEObject Type="Embed" ProgID="Equation.DSMT4" ShapeID="_x0000_i1048" DrawAspect="Content" ObjectID="_1705633933" r:id="rId53"/>
        </w:object>
      </w:r>
    </w:p>
    <w:p w:rsidR="00375C07" w:rsidRPr="00B60B17" w:rsidRDefault="00375C07" w:rsidP="00B60B17">
      <w:pPr>
        <w:spacing w:line="360" w:lineRule="auto"/>
        <w:ind w:firstLine="708"/>
        <w:jc w:val="both"/>
      </w:pPr>
      <w:proofErr w:type="spellStart"/>
      <w:r w:rsidRPr="00B60B17">
        <w:t>Квантильная</w:t>
      </w:r>
      <w:proofErr w:type="spellEnd"/>
      <w:r w:rsidRPr="00B60B17">
        <w:t xml:space="preserve"> регрессия предоставляет возможность изучить влияние </w:t>
      </w:r>
      <w:proofErr w:type="spellStart"/>
      <w:r w:rsidRPr="00B60B17">
        <w:t>ковариат</w:t>
      </w:r>
      <w:proofErr w:type="spellEnd"/>
      <w:r w:rsidRPr="00B60B17">
        <w:t xml:space="preserve"> на “сегментах” </w:t>
      </w:r>
      <w:r w:rsidRPr="00B60B17">
        <w:rPr>
          <w:position w:val="-10"/>
        </w:rPr>
        <w:object w:dxaOrig="200" w:dyaOrig="240">
          <v:shape id="_x0000_i1049" type="#_x0000_t75" style="width:9.9pt;height:12pt" o:ole="">
            <v:imagedata r:id="rId54" o:title=""/>
          </v:shape>
          <o:OLEObject Type="Embed" ProgID="Equation.DSMT4" ShapeID="_x0000_i1049" DrawAspect="Content" ObjectID="_1705633934" r:id="rId55"/>
        </w:object>
      </w:r>
      <w:r w:rsidRPr="00B60B17">
        <w:t xml:space="preserve">: анализ относится к условному квантилю </w:t>
      </w:r>
      <w:r w:rsidRPr="00B60B17">
        <w:rPr>
          <w:position w:val="-6"/>
        </w:rPr>
        <w:object w:dxaOrig="180" w:dyaOrig="200">
          <v:shape id="_x0000_i1050" type="#_x0000_t75" style="width:9pt;height:9.9pt" o:ole="">
            <v:imagedata r:id="rId56" o:title=""/>
          </v:shape>
          <o:OLEObject Type="Embed" ProgID="Equation.DSMT4" ShapeID="_x0000_i1050" DrawAspect="Content" ObjectID="_1705633935" r:id="rId57"/>
        </w:object>
      </w:r>
      <w:r w:rsidRPr="00B60B17">
        <w:t xml:space="preserve"> зависимой переменной. Более того, если традиционны</w:t>
      </w:r>
      <w:r w:rsidR="00703000">
        <w:t>е</w:t>
      </w:r>
      <w:r w:rsidRPr="00B60B17">
        <w:t xml:space="preserve"> метод</w:t>
      </w:r>
      <w:r w:rsidR="00703000">
        <w:t>ы</w:t>
      </w:r>
      <w:r w:rsidRPr="00B60B17">
        <w:t xml:space="preserve"> МНК рассматрива</w:t>
      </w:r>
      <w:r w:rsidR="00703000">
        <w:t>ю</w:t>
      </w:r>
      <w:r w:rsidRPr="00B60B17">
        <w:t xml:space="preserve">т отклонения от некой средней траектории, то </w:t>
      </w:r>
      <w:proofErr w:type="spellStart"/>
      <w:r w:rsidRPr="00B60B17">
        <w:t>квантиль</w:t>
      </w:r>
      <w:r w:rsidR="00703000">
        <w:t>ная</w:t>
      </w:r>
      <w:proofErr w:type="spellEnd"/>
      <w:r w:rsidRPr="00B60B17">
        <w:t xml:space="preserve"> регрессия позволя</w:t>
      </w:r>
      <w:r w:rsidR="00703000">
        <w:t>е</w:t>
      </w:r>
      <w:r w:rsidRPr="00B60B17">
        <w:t xml:space="preserve">т выбрать любой квантиль условного распределения зависимой переменной для вычисления абсолютных отклонений. Этим квантилем </w:t>
      </w:r>
      <w:proofErr w:type="gramStart"/>
      <w:r w:rsidRPr="00B60B17">
        <w:t>может быть</w:t>
      </w:r>
      <w:proofErr w:type="gramEnd"/>
      <w:r w:rsidRPr="00B60B17">
        <w:t xml:space="preserve"> как медиана, так и любая процентная точка. Поэтому </w:t>
      </w:r>
      <w:proofErr w:type="spellStart"/>
      <w:r w:rsidRPr="00B60B17">
        <w:t>квантильные</w:t>
      </w:r>
      <w:proofErr w:type="spellEnd"/>
      <w:r w:rsidRPr="00B60B17">
        <w:t xml:space="preserve"> регрессии </w:t>
      </w:r>
      <w:proofErr w:type="gramStart"/>
      <w:r w:rsidRPr="00B60B17">
        <w:t>являются  распространенным</w:t>
      </w:r>
      <w:proofErr w:type="gramEnd"/>
      <w:r w:rsidRPr="00B60B17">
        <w:t xml:space="preserve"> инструментом для оценивания разнородного влияния объясняющих переменных – для этого рассматриваются отдельные регрессии для ряда квантилей и сравниваются знаки коэффициентов и их значимость.</w:t>
      </w:r>
    </w:p>
    <w:p w:rsidR="00375C07" w:rsidRPr="00B60B17" w:rsidRDefault="00375C07" w:rsidP="00B60B17">
      <w:pPr>
        <w:spacing w:line="360" w:lineRule="auto"/>
        <w:ind w:firstLine="708"/>
        <w:jc w:val="both"/>
      </w:pPr>
      <w:r w:rsidRPr="00B60B17">
        <w:t>Вместо того, чтобы эк</w:t>
      </w:r>
      <w:r w:rsidR="00CE7F3E">
        <w:t>с</w:t>
      </w:r>
      <w:r w:rsidRPr="00B60B17">
        <w:t xml:space="preserve">траполировать результаты МНК регрессии на хвосты распределения зависимой переменной, </w:t>
      </w:r>
      <w:proofErr w:type="spellStart"/>
      <w:r w:rsidRPr="00B60B17">
        <w:t>квантильная</w:t>
      </w:r>
      <w:proofErr w:type="spellEnd"/>
      <w:r w:rsidRPr="00B60B17">
        <w:t xml:space="preserve"> регрессия позволяет получить независимые оценки влияния </w:t>
      </w:r>
      <w:proofErr w:type="spellStart"/>
      <w:r w:rsidRPr="00B60B17">
        <w:t>ковариат</w:t>
      </w:r>
      <w:proofErr w:type="spellEnd"/>
      <w:r w:rsidRPr="00B60B17">
        <w:t xml:space="preserve"> в каждом условном квантиле </w:t>
      </w:r>
      <w:r w:rsidRPr="00B60B17">
        <w:rPr>
          <w:position w:val="-10"/>
        </w:rPr>
        <w:object w:dxaOrig="200" w:dyaOrig="240">
          <v:shape id="_x0000_i1051" type="#_x0000_t75" style="width:9.9pt;height:12pt" o:ole="">
            <v:imagedata r:id="rId54" o:title=""/>
          </v:shape>
          <o:OLEObject Type="Embed" ProgID="Equation.DSMT4" ShapeID="_x0000_i1051" DrawAspect="Content" ObjectID="_1705633936" r:id="rId58"/>
        </w:object>
      </w:r>
      <w:r w:rsidRPr="00B60B17">
        <w:t xml:space="preserve">. Различные значения оцененных коэффициентов </w:t>
      </w:r>
      <w:r w:rsidRPr="00B60B17">
        <w:rPr>
          <w:lang w:eastAsia="ja-JP"/>
        </w:rPr>
        <w:t>для объясняющей переменной в регрессиях для разных</w:t>
      </w:r>
      <w:r w:rsidRPr="00B60B17">
        <w:t xml:space="preserve"> </w:t>
      </w:r>
      <w:r w:rsidRPr="00B60B17">
        <w:rPr>
          <w:position w:val="-6"/>
        </w:rPr>
        <w:object w:dxaOrig="180" w:dyaOrig="200">
          <v:shape id="_x0000_i1052" type="#_x0000_t75" style="width:9pt;height:9.9pt" o:ole="">
            <v:imagedata r:id="rId59" o:title=""/>
          </v:shape>
          <o:OLEObject Type="Embed" ProgID="Equation.DSMT4" ShapeID="_x0000_i1052" DrawAspect="Content" ObjectID="_1705633937" r:id="rId60"/>
        </w:object>
      </w:r>
      <w:r w:rsidRPr="00B60B17">
        <w:t xml:space="preserve"> могут быть проинтерпретированы как наличие гетерогенного эффекта этой объясняющей переменной. </w:t>
      </w:r>
      <w:r w:rsidR="00703000" w:rsidRPr="00B60B17">
        <w:t>Например</w:t>
      </w:r>
      <w:r w:rsidRPr="00B60B17">
        <w:t xml:space="preserve">, с помощью </w:t>
      </w:r>
      <w:proofErr w:type="spellStart"/>
      <w:r w:rsidRPr="00B60B17">
        <w:t>квантильной</w:t>
      </w:r>
      <w:proofErr w:type="spellEnd"/>
      <w:r w:rsidRPr="00B60B17">
        <w:t xml:space="preserve"> регрессии можно изучить гетерогенные эффекты государственных реформ или макроэкономических </w:t>
      </w:r>
      <w:proofErr w:type="spellStart"/>
      <w:r w:rsidRPr="00B60B17">
        <w:t>шоклов</w:t>
      </w:r>
      <w:proofErr w:type="spellEnd"/>
      <w:r w:rsidRPr="00B60B17">
        <w:t xml:space="preserve"> на производство или гетерогенное влияние социально-экономических характеристик потребителей на </w:t>
      </w:r>
      <w:r w:rsidR="00703000" w:rsidRPr="00B60B17">
        <w:t>предъявляемый</w:t>
      </w:r>
      <w:r w:rsidRPr="00B60B17">
        <w:t xml:space="preserve"> спрос.</w:t>
      </w:r>
    </w:p>
    <w:p w:rsidR="00375C07" w:rsidRPr="00B60B17" w:rsidRDefault="00375C07" w:rsidP="00B60B17">
      <w:pPr>
        <w:pStyle w:val="BodyText"/>
        <w:spacing w:after="0" w:line="360" w:lineRule="auto"/>
        <w:ind w:firstLine="720"/>
        <w:jc w:val="both"/>
      </w:pPr>
      <w:r w:rsidRPr="00B60B17">
        <w:t xml:space="preserve">Еще одним преимуществом </w:t>
      </w:r>
      <w:proofErr w:type="spellStart"/>
      <w:r w:rsidRPr="00B60B17">
        <w:t>квантильных</w:t>
      </w:r>
      <w:proofErr w:type="spellEnd"/>
      <w:r w:rsidRPr="00B60B17">
        <w:t xml:space="preserve"> регрессий является применимо</w:t>
      </w:r>
      <w:r w:rsidR="00703000">
        <w:t xml:space="preserve">сть для анализа эффективности </w:t>
      </w:r>
      <w:r w:rsidRPr="00B60B17">
        <w:t>производител</w:t>
      </w:r>
      <w:r w:rsidR="00703000">
        <w:t>ей</w:t>
      </w:r>
      <w:r w:rsidRPr="00B60B17">
        <w:t>. Так, высокие квантили выпуска (0.8 или 0.9</w:t>
      </w:r>
      <w:proofErr w:type="gramStart"/>
      <w:r w:rsidRPr="00B60B17">
        <w:t>)  могут</w:t>
      </w:r>
      <w:proofErr w:type="gramEnd"/>
      <w:r w:rsidRPr="00B60B17">
        <w:t xml:space="preserve"> </w:t>
      </w:r>
      <w:r w:rsidRPr="00B60B17">
        <w:lastRenderedPageBreak/>
        <w:t xml:space="preserve">восприниматься как прокси для границы производственных возможностей. В случае же </w:t>
      </w:r>
      <w:proofErr w:type="spellStart"/>
      <w:r w:rsidRPr="00B60B17">
        <w:t>квантильной</w:t>
      </w:r>
      <w:proofErr w:type="spellEnd"/>
      <w:r w:rsidRPr="00B60B17">
        <w:t xml:space="preserve"> регрессии для функции издержек – низкие значения (0.1 или 0.2) можно рассматривать как приближение траектории минимизации издержек.</w:t>
      </w:r>
    </w:p>
    <w:p w:rsidR="00375C07" w:rsidRPr="00B60B17" w:rsidRDefault="00375C07" w:rsidP="00B60B17">
      <w:pPr>
        <w:spacing w:line="360" w:lineRule="auto"/>
        <w:ind w:firstLine="708"/>
        <w:jc w:val="both"/>
        <w:rPr>
          <w:rFonts w:eastAsiaTheme="minorEastAsia"/>
          <w:lang w:eastAsia="ja-JP"/>
        </w:rPr>
      </w:pPr>
    </w:p>
    <w:p w:rsidR="00282A6D" w:rsidRPr="00B60B17" w:rsidRDefault="00375C07" w:rsidP="00B60B17">
      <w:pPr>
        <w:spacing w:line="360" w:lineRule="auto"/>
        <w:ind w:firstLine="708"/>
        <w:jc w:val="both"/>
        <w:rPr>
          <w:rFonts w:eastAsiaTheme="minorEastAsia"/>
          <w:lang w:eastAsia="ja-JP"/>
        </w:rPr>
      </w:pPr>
      <w:r w:rsidRPr="00B60B17">
        <w:rPr>
          <w:rFonts w:eastAsiaTheme="minorEastAsia"/>
          <w:lang w:eastAsia="ja-JP"/>
        </w:rPr>
        <w:t xml:space="preserve">В работах </w:t>
      </w:r>
      <w:r w:rsidR="00282A6D" w:rsidRPr="00B60B17">
        <w:rPr>
          <w:rFonts w:eastAsiaTheme="minorEastAsia"/>
          <w:lang w:val="en-US" w:eastAsia="ja-JP"/>
        </w:rPr>
        <w:t>Besstremyannaya</w:t>
      </w:r>
      <w:r w:rsidR="00282A6D" w:rsidRPr="00B60B17">
        <w:rPr>
          <w:rFonts w:eastAsiaTheme="minorEastAsia"/>
          <w:lang w:eastAsia="ja-JP"/>
        </w:rPr>
        <w:t xml:space="preserve"> (2014</w:t>
      </w:r>
      <w:r w:rsidR="00DC2D13" w:rsidRPr="00B60B17">
        <w:rPr>
          <w:rFonts w:eastAsiaTheme="minorEastAsia"/>
          <w:lang w:eastAsia="ja-JP"/>
        </w:rPr>
        <w:t>, 2015</w:t>
      </w:r>
      <w:r w:rsidR="00CE7F3E">
        <w:rPr>
          <w:rFonts w:eastAsiaTheme="minorEastAsia"/>
          <w:lang w:val="en-US" w:eastAsia="ja-JP"/>
        </w:rPr>
        <w:t>c</w:t>
      </w:r>
      <w:r w:rsidR="00282A6D" w:rsidRPr="00B60B17">
        <w:rPr>
          <w:rFonts w:eastAsiaTheme="minorEastAsia"/>
          <w:lang w:eastAsia="ja-JP"/>
        </w:rPr>
        <w:t xml:space="preserve">) </w:t>
      </w:r>
      <w:proofErr w:type="spellStart"/>
      <w:r w:rsidR="00282A6D" w:rsidRPr="00B60B17">
        <w:rPr>
          <w:rFonts w:eastAsiaTheme="minorEastAsia"/>
          <w:lang w:eastAsia="ja-JP"/>
        </w:rPr>
        <w:t>квантильные</w:t>
      </w:r>
      <w:proofErr w:type="spellEnd"/>
      <w:r w:rsidR="00282A6D" w:rsidRPr="00B60B17">
        <w:rPr>
          <w:rFonts w:eastAsiaTheme="minorEastAsia"/>
          <w:lang w:eastAsia="ja-JP"/>
        </w:rPr>
        <w:t xml:space="preserve"> регрессии с </w:t>
      </w:r>
      <w:proofErr w:type="spellStart"/>
      <w:r w:rsidR="00282A6D" w:rsidRPr="00B60B17">
        <w:rPr>
          <w:rFonts w:eastAsiaTheme="minorEastAsia"/>
          <w:lang w:eastAsia="ja-JP"/>
        </w:rPr>
        <w:t>эндогенностью</w:t>
      </w:r>
      <w:proofErr w:type="spellEnd"/>
      <w:r w:rsidR="00282A6D" w:rsidRPr="00B60B17">
        <w:rPr>
          <w:rFonts w:eastAsiaTheme="minorEastAsia"/>
          <w:lang w:eastAsia="ja-JP"/>
        </w:rPr>
        <w:t xml:space="preserve"> </w:t>
      </w:r>
      <w:r w:rsidR="00432AB8" w:rsidRPr="00B60B17">
        <w:rPr>
          <w:rFonts w:eastAsiaTheme="minorEastAsia"/>
          <w:lang w:eastAsia="ja-JP"/>
        </w:rPr>
        <w:t xml:space="preserve">впервые используются </w:t>
      </w:r>
      <w:r w:rsidR="00282A6D" w:rsidRPr="00B60B17">
        <w:rPr>
          <w:rFonts w:eastAsiaTheme="minorEastAsia"/>
          <w:lang w:eastAsia="ja-JP"/>
        </w:rPr>
        <w:t xml:space="preserve">для </w:t>
      </w:r>
      <w:r w:rsidR="00432AB8" w:rsidRPr="00B60B17">
        <w:rPr>
          <w:rFonts w:eastAsiaTheme="minorEastAsia"/>
          <w:lang w:eastAsia="ja-JP"/>
        </w:rPr>
        <w:t xml:space="preserve">анализа </w:t>
      </w:r>
      <w:r w:rsidR="00282A6D" w:rsidRPr="00B60B17">
        <w:rPr>
          <w:rFonts w:eastAsiaTheme="minorEastAsia"/>
          <w:lang w:eastAsia="ja-JP"/>
        </w:rPr>
        <w:t>производственной функции стационаров</w:t>
      </w:r>
      <w:r w:rsidR="00432AB8" w:rsidRPr="00B60B17">
        <w:rPr>
          <w:rFonts w:eastAsiaTheme="minorEastAsia"/>
          <w:lang w:eastAsia="ja-JP"/>
        </w:rPr>
        <w:t xml:space="preserve">. С помощью этого инструментария </w:t>
      </w:r>
      <w:r w:rsidR="00282A6D" w:rsidRPr="00B60B17">
        <w:rPr>
          <w:rFonts w:eastAsiaTheme="minorEastAsia"/>
          <w:lang w:eastAsia="ja-JP"/>
        </w:rPr>
        <w:t>исслед</w:t>
      </w:r>
      <w:r w:rsidR="00432AB8" w:rsidRPr="00B60B17">
        <w:rPr>
          <w:rFonts w:eastAsiaTheme="minorEastAsia"/>
          <w:lang w:eastAsia="ja-JP"/>
        </w:rPr>
        <w:t>уется</w:t>
      </w:r>
      <w:r w:rsidR="00282A6D" w:rsidRPr="00B60B17">
        <w:rPr>
          <w:rFonts w:eastAsiaTheme="minorEastAsia"/>
          <w:lang w:eastAsia="ja-JP"/>
        </w:rPr>
        <w:t xml:space="preserve"> гетерогенн</w:t>
      </w:r>
      <w:r w:rsidR="00432AB8" w:rsidRPr="00B60B17">
        <w:rPr>
          <w:rFonts w:eastAsiaTheme="minorEastAsia"/>
          <w:lang w:eastAsia="ja-JP"/>
        </w:rPr>
        <w:t>ый</w:t>
      </w:r>
      <w:r w:rsidR="00282A6D" w:rsidRPr="00B60B17">
        <w:rPr>
          <w:rFonts w:eastAsiaTheme="minorEastAsia"/>
          <w:lang w:eastAsia="ja-JP"/>
        </w:rPr>
        <w:t xml:space="preserve"> эффект государственной политики</w:t>
      </w:r>
      <w:r w:rsidR="00432AB8" w:rsidRPr="00B60B17">
        <w:rPr>
          <w:rFonts w:eastAsiaTheme="minorEastAsia"/>
          <w:lang w:eastAsia="ja-JP"/>
        </w:rPr>
        <w:t xml:space="preserve"> на производство и качество услуг больниц США и Японии</w:t>
      </w:r>
      <w:r w:rsidR="00282A6D" w:rsidRPr="00B60B17">
        <w:rPr>
          <w:rFonts w:eastAsiaTheme="minorEastAsia"/>
          <w:lang w:eastAsia="ja-JP"/>
        </w:rPr>
        <w:t>.</w:t>
      </w:r>
    </w:p>
    <w:p w:rsidR="003A3D3F" w:rsidRPr="00B60B17" w:rsidRDefault="00375C07" w:rsidP="00B60B17">
      <w:pPr>
        <w:pStyle w:val="BodyText"/>
        <w:spacing w:after="0" w:line="360" w:lineRule="auto"/>
        <w:ind w:firstLine="720"/>
        <w:jc w:val="both"/>
        <w:rPr>
          <w:rFonts w:eastAsiaTheme="minorEastAsia"/>
          <w:lang w:eastAsia="ja-JP"/>
        </w:rPr>
      </w:pPr>
      <w:r w:rsidRPr="00B60B17">
        <w:rPr>
          <w:rFonts w:eastAsiaTheme="minorEastAsia"/>
          <w:lang w:eastAsia="ja-JP"/>
        </w:rPr>
        <w:t>В статье</w:t>
      </w:r>
      <w:r w:rsidR="00432AB8" w:rsidRPr="00B60B17">
        <w:rPr>
          <w:rFonts w:eastAsiaTheme="minorEastAsia"/>
          <w:lang w:eastAsia="ja-JP"/>
        </w:rPr>
        <w:t xml:space="preserve"> </w:t>
      </w:r>
      <w:r w:rsidR="004B4F3B" w:rsidRPr="00B60B17">
        <w:rPr>
          <w:rFonts w:eastAsiaTheme="minorEastAsia"/>
          <w:lang w:val="en-US" w:eastAsia="ja-JP"/>
        </w:rPr>
        <w:t>Besstremyannaya</w:t>
      </w:r>
      <w:r w:rsidR="004B4F3B" w:rsidRPr="00B60B17">
        <w:rPr>
          <w:rFonts w:eastAsiaTheme="minorEastAsia"/>
          <w:lang w:eastAsia="ja-JP"/>
        </w:rPr>
        <w:t xml:space="preserve"> (2017</w:t>
      </w:r>
      <w:r w:rsidR="0023491C">
        <w:rPr>
          <w:rFonts w:eastAsiaTheme="minorEastAsia"/>
          <w:lang w:val="en-US" w:eastAsia="ja-JP"/>
        </w:rPr>
        <w:t>a</w:t>
      </w:r>
      <w:r w:rsidR="0023491C" w:rsidRPr="00B60B17">
        <w:rPr>
          <w:rFonts w:eastAsiaTheme="minorEastAsia"/>
          <w:lang w:eastAsia="ja-JP"/>
        </w:rPr>
        <w:t>) инструментарий</w:t>
      </w:r>
      <w:r w:rsidR="00432AB8" w:rsidRPr="00B60B17">
        <w:rPr>
          <w:rFonts w:eastAsiaTheme="minorEastAsia"/>
          <w:lang w:eastAsia="ja-JP"/>
        </w:rPr>
        <w:t xml:space="preserve"> условных </w:t>
      </w:r>
      <w:proofErr w:type="spellStart"/>
      <w:r w:rsidR="00432AB8" w:rsidRPr="00B60B17">
        <w:rPr>
          <w:rFonts w:eastAsiaTheme="minorEastAsia"/>
          <w:lang w:eastAsia="ja-JP"/>
        </w:rPr>
        <w:t>квантильных</w:t>
      </w:r>
      <w:proofErr w:type="spellEnd"/>
      <w:r w:rsidR="00432AB8" w:rsidRPr="00B60B17">
        <w:rPr>
          <w:rFonts w:eastAsiaTheme="minorEastAsia"/>
          <w:lang w:eastAsia="ja-JP"/>
        </w:rPr>
        <w:t xml:space="preserve"> регрессий впервые </w:t>
      </w:r>
      <w:proofErr w:type="spellStart"/>
      <w:r w:rsidR="00432AB8" w:rsidRPr="00B60B17">
        <w:rPr>
          <w:rFonts w:eastAsiaTheme="minorEastAsia"/>
          <w:lang w:eastAsia="ja-JP"/>
        </w:rPr>
        <w:t>применени</w:t>
      </w:r>
      <w:proofErr w:type="spellEnd"/>
      <w:r w:rsidR="00432AB8" w:rsidRPr="00B60B17">
        <w:rPr>
          <w:rFonts w:eastAsiaTheme="minorEastAsia"/>
          <w:lang w:eastAsia="ja-JP"/>
        </w:rPr>
        <w:t xml:space="preserve"> для анализа </w:t>
      </w:r>
      <w:r w:rsidR="003A3D3F" w:rsidRPr="00B60B17">
        <w:rPr>
          <w:rFonts w:eastAsiaTheme="minorEastAsia"/>
          <w:lang w:eastAsia="ja-JP"/>
        </w:rPr>
        <w:t xml:space="preserve">панельных данных о </w:t>
      </w:r>
      <w:r w:rsidR="00432AB8" w:rsidRPr="00B60B17">
        <w:rPr>
          <w:rFonts w:eastAsiaTheme="minorEastAsia"/>
          <w:lang w:eastAsia="ja-JP"/>
        </w:rPr>
        <w:t xml:space="preserve">функции издержек в банковской отрасли. </w:t>
      </w:r>
      <w:r w:rsidR="003A3D3F" w:rsidRPr="00B60B17">
        <w:rPr>
          <w:rFonts w:eastAsiaTheme="minorEastAsia"/>
          <w:lang w:eastAsia="ja-JP"/>
        </w:rPr>
        <w:t>Предполагается, что различные типы банковской технологии соответствуют различным условным квантилям функции издержек (чем ниже квантиль, тем лучше технология).</w:t>
      </w:r>
    </w:p>
    <w:p w:rsidR="003A3D3F" w:rsidRPr="00B60B17" w:rsidRDefault="00375C07" w:rsidP="00B60B17">
      <w:pPr>
        <w:pStyle w:val="BodyText"/>
        <w:spacing w:after="0" w:line="360" w:lineRule="auto"/>
        <w:ind w:firstLine="720"/>
        <w:jc w:val="both"/>
        <w:rPr>
          <w:rFonts w:eastAsiaTheme="minorEastAsia"/>
          <w:lang w:eastAsia="ja-JP"/>
        </w:rPr>
      </w:pPr>
      <w:r w:rsidRPr="00B60B17">
        <w:rPr>
          <w:rFonts w:eastAsiaTheme="minorEastAsia"/>
          <w:lang w:eastAsia="ja-JP"/>
        </w:rPr>
        <w:t>На основе</w:t>
      </w:r>
      <w:r w:rsidR="00432AB8" w:rsidRPr="00B60B17">
        <w:rPr>
          <w:rFonts w:eastAsiaTheme="minorEastAsia"/>
          <w:lang w:eastAsia="ja-JP"/>
        </w:rPr>
        <w:t xml:space="preserve"> пане</w:t>
      </w:r>
      <w:r w:rsidRPr="00B60B17">
        <w:rPr>
          <w:rFonts w:eastAsiaTheme="minorEastAsia"/>
          <w:lang w:eastAsia="ja-JP"/>
        </w:rPr>
        <w:t>льных данных</w:t>
      </w:r>
      <w:r w:rsidR="00432AB8" w:rsidRPr="00B60B17">
        <w:rPr>
          <w:rFonts w:eastAsiaTheme="minorEastAsia"/>
          <w:lang w:eastAsia="ja-JP"/>
        </w:rPr>
        <w:t xml:space="preserve"> о банках Японии в 2000-2013 годах, в работе оценивается гетерогенное влияние макроэкономических шоков (глобального финансового кризиса 2007-2009 гг. и </w:t>
      </w:r>
      <w:r w:rsidR="00703000" w:rsidRPr="00B60B17">
        <w:rPr>
          <w:rFonts w:eastAsiaTheme="minorEastAsia"/>
          <w:lang w:eastAsia="ja-JP"/>
        </w:rPr>
        <w:t>землетрясения</w:t>
      </w:r>
      <w:r w:rsidR="00432AB8" w:rsidRPr="00B60B17">
        <w:rPr>
          <w:rFonts w:eastAsiaTheme="minorEastAsia"/>
          <w:lang w:eastAsia="ja-JP"/>
        </w:rPr>
        <w:t xml:space="preserve"> 2011 г.</w:t>
      </w:r>
      <w:r w:rsidR="00703000">
        <w:rPr>
          <w:rFonts w:eastAsiaTheme="minorEastAsia"/>
          <w:lang w:eastAsia="ja-JP"/>
        </w:rPr>
        <w:t xml:space="preserve"> в районе </w:t>
      </w:r>
      <w:proofErr w:type="spellStart"/>
      <w:r w:rsidR="00703000">
        <w:rPr>
          <w:rFonts w:eastAsiaTheme="minorEastAsia"/>
          <w:lang w:eastAsia="ja-JP"/>
        </w:rPr>
        <w:t>Тохоку</w:t>
      </w:r>
      <w:proofErr w:type="spellEnd"/>
      <w:r w:rsidR="00432AB8" w:rsidRPr="00B60B17">
        <w:rPr>
          <w:rFonts w:eastAsiaTheme="minorEastAsia"/>
          <w:lang w:eastAsia="ja-JP"/>
        </w:rPr>
        <w:t>) на издержки банков</w:t>
      </w:r>
      <w:r w:rsidR="003A3D3F" w:rsidRPr="00B60B17">
        <w:rPr>
          <w:rFonts w:eastAsiaTheme="minorEastAsia"/>
          <w:lang w:eastAsia="ja-JP"/>
        </w:rPr>
        <w:t xml:space="preserve">, </w:t>
      </w:r>
      <w:r w:rsidR="00432AB8" w:rsidRPr="00B60B17">
        <w:rPr>
          <w:rFonts w:eastAsiaTheme="minorEastAsia"/>
          <w:lang w:eastAsia="ja-JP"/>
        </w:rPr>
        <w:t>на показатели ценовой эффективности</w:t>
      </w:r>
      <w:r w:rsidRPr="00B60B17">
        <w:rPr>
          <w:rFonts w:eastAsiaTheme="minorEastAsia"/>
          <w:lang w:eastAsia="ja-JP"/>
        </w:rPr>
        <w:t xml:space="preserve"> и</w:t>
      </w:r>
      <w:r w:rsidR="003A3D3F" w:rsidRPr="00B60B17">
        <w:rPr>
          <w:rFonts w:eastAsiaTheme="minorEastAsia"/>
          <w:lang w:eastAsia="ja-JP"/>
        </w:rPr>
        <w:t xml:space="preserve"> на экономию масштаба (</w:t>
      </w:r>
      <w:r w:rsidR="003A3D3F" w:rsidRPr="00B60B17">
        <w:rPr>
          <w:rFonts w:eastAsiaTheme="minorEastAsia"/>
          <w:lang w:val="en-US" w:eastAsia="ja-JP"/>
        </w:rPr>
        <w:t>economy</w:t>
      </w:r>
      <w:r w:rsidR="003A3D3F" w:rsidRPr="00B60B17">
        <w:rPr>
          <w:rFonts w:eastAsiaTheme="minorEastAsia"/>
          <w:lang w:eastAsia="ja-JP"/>
        </w:rPr>
        <w:t xml:space="preserve"> </w:t>
      </w:r>
      <w:r w:rsidR="003A3D3F" w:rsidRPr="00B60B17">
        <w:rPr>
          <w:rFonts w:eastAsiaTheme="minorEastAsia"/>
          <w:lang w:val="en-US" w:eastAsia="ja-JP"/>
        </w:rPr>
        <w:t>of</w:t>
      </w:r>
      <w:r w:rsidR="003A3D3F" w:rsidRPr="00B60B17">
        <w:rPr>
          <w:rFonts w:eastAsiaTheme="minorEastAsia"/>
          <w:lang w:eastAsia="ja-JP"/>
        </w:rPr>
        <w:t xml:space="preserve"> </w:t>
      </w:r>
      <w:r w:rsidR="003A3D3F" w:rsidRPr="00B60B17">
        <w:rPr>
          <w:rFonts w:eastAsiaTheme="minorEastAsia"/>
          <w:lang w:val="en-US" w:eastAsia="ja-JP"/>
        </w:rPr>
        <w:t>scale</w:t>
      </w:r>
      <w:r w:rsidR="003A3D3F" w:rsidRPr="00B60B17">
        <w:rPr>
          <w:rFonts w:eastAsiaTheme="minorEastAsia"/>
          <w:lang w:eastAsia="ja-JP"/>
        </w:rPr>
        <w:t xml:space="preserve"> </w:t>
      </w:r>
      <w:r w:rsidR="003A3D3F" w:rsidRPr="00B60B17">
        <w:rPr>
          <w:rFonts w:eastAsiaTheme="minorEastAsia"/>
          <w:lang w:val="en-US" w:eastAsia="ja-JP"/>
        </w:rPr>
        <w:t>and</w:t>
      </w:r>
      <w:r w:rsidR="003A3D3F" w:rsidRPr="00B60B17">
        <w:rPr>
          <w:rFonts w:eastAsiaTheme="minorEastAsia"/>
          <w:lang w:eastAsia="ja-JP"/>
        </w:rPr>
        <w:t xml:space="preserve"> </w:t>
      </w:r>
      <w:r w:rsidR="003A3D3F" w:rsidRPr="00B60B17">
        <w:rPr>
          <w:rFonts w:eastAsiaTheme="minorEastAsia"/>
          <w:lang w:val="en-US" w:eastAsia="ja-JP"/>
        </w:rPr>
        <w:t>economy</w:t>
      </w:r>
      <w:r w:rsidR="003A3D3F" w:rsidRPr="00B60B17">
        <w:rPr>
          <w:rFonts w:eastAsiaTheme="minorEastAsia"/>
          <w:lang w:eastAsia="ja-JP"/>
        </w:rPr>
        <w:t xml:space="preserve"> </w:t>
      </w:r>
      <w:r w:rsidR="003A3D3F" w:rsidRPr="00B60B17">
        <w:rPr>
          <w:rFonts w:eastAsiaTheme="minorEastAsia"/>
          <w:lang w:val="en-US" w:eastAsia="ja-JP"/>
        </w:rPr>
        <w:t>of</w:t>
      </w:r>
      <w:r w:rsidR="003A3D3F" w:rsidRPr="00B60B17">
        <w:rPr>
          <w:rFonts w:eastAsiaTheme="minorEastAsia"/>
          <w:lang w:eastAsia="ja-JP"/>
        </w:rPr>
        <w:t xml:space="preserve"> </w:t>
      </w:r>
      <w:r w:rsidR="003A3D3F" w:rsidRPr="00B60B17">
        <w:rPr>
          <w:rFonts w:eastAsiaTheme="minorEastAsia"/>
          <w:lang w:val="en-US" w:eastAsia="ja-JP"/>
        </w:rPr>
        <w:t>scope</w:t>
      </w:r>
      <w:r w:rsidR="003A3D3F" w:rsidRPr="00B60B17">
        <w:rPr>
          <w:rFonts w:eastAsiaTheme="minorEastAsia"/>
          <w:lang w:eastAsia="ja-JP"/>
        </w:rPr>
        <w:t>)</w:t>
      </w:r>
      <w:r w:rsidR="00432AB8" w:rsidRPr="00B60B17">
        <w:rPr>
          <w:rFonts w:eastAsiaTheme="minorEastAsia"/>
          <w:lang w:eastAsia="ja-JP"/>
        </w:rPr>
        <w:t xml:space="preserve">. В рамках </w:t>
      </w:r>
      <w:r w:rsidR="003A3D3F" w:rsidRPr="00B60B17">
        <w:rPr>
          <w:rFonts w:eastAsiaTheme="minorEastAsia"/>
          <w:lang w:eastAsia="ja-JP"/>
        </w:rPr>
        <w:t>анализа показателей ценовой эффективности использованы переменные, отвечающие за различные аспект</w:t>
      </w:r>
      <w:r w:rsidRPr="00B60B17">
        <w:rPr>
          <w:rFonts w:eastAsiaTheme="minorEastAsia"/>
          <w:lang w:eastAsia="ja-JP"/>
        </w:rPr>
        <w:t>ы</w:t>
      </w:r>
      <w:r w:rsidR="003A3D3F" w:rsidRPr="00B60B17">
        <w:rPr>
          <w:rFonts w:eastAsiaTheme="minorEastAsia"/>
          <w:lang w:eastAsia="ja-JP"/>
        </w:rPr>
        <w:t xml:space="preserve">, связанные с банковским риском или моделями управления банками. В работе используется оценка в модели </w:t>
      </w:r>
      <w:proofErr w:type="spellStart"/>
      <w:r w:rsidR="003A3D3F" w:rsidRPr="00B60B17">
        <w:rPr>
          <w:rFonts w:eastAsiaTheme="minorEastAsia"/>
          <w:lang w:eastAsia="ja-JP"/>
        </w:rPr>
        <w:t>квантильной</w:t>
      </w:r>
      <w:proofErr w:type="spellEnd"/>
      <w:r w:rsidR="003A3D3F" w:rsidRPr="00B60B17">
        <w:rPr>
          <w:rFonts w:eastAsiaTheme="minorEastAsia"/>
          <w:lang w:eastAsia="ja-JP"/>
        </w:rPr>
        <w:t xml:space="preserve"> регрессии с фиксированными эффектами, не зависящими от квантиля</w:t>
      </w:r>
      <w:r w:rsidR="00DC2D13" w:rsidRPr="00B60B17">
        <w:rPr>
          <w:rFonts w:eastAsiaTheme="minorEastAsia"/>
          <w:lang w:eastAsia="ja-JP"/>
        </w:rPr>
        <w:t xml:space="preserve"> (</w:t>
      </w:r>
      <w:proofErr w:type="spellStart"/>
      <w:r w:rsidR="00DC2D13" w:rsidRPr="00B60B17">
        <w:rPr>
          <w:rFonts w:eastAsiaTheme="minorEastAsia"/>
          <w:lang w:val="en-US" w:eastAsia="ja-JP"/>
        </w:rPr>
        <w:t>Canay</w:t>
      </w:r>
      <w:proofErr w:type="spellEnd"/>
      <w:r w:rsidR="00DC2D13" w:rsidRPr="00B60B17">
        <w:rPr>
          <w:rFonts w:eastAsiaTheme="minorEastAsia"/>
          <w:lang w:eastAsia="ja-JP"/>
        </w:rPr>
        <w:t>, 2011)</w:t>
      </w:r>
      <w:r w:rsidR="003A3D3F" w:rsidRPr="00B60B17">
        <w:rPr>
          <w:rFonts w:eastAsiaTheme="minorEastAsia"/>
          <w:lang w:eastAsia="ja-JP"/>
        </w:rPr>
        <w:t xml:space="preserve">. </w:t>
      </w:r>
    </w:p>
    <w:p w:rsidR="00375C07" w:rsidRPr="00B60B17" w:rsidRDefault="00C87C3F" w:rsidP="00B60B17">
      <w:pPr>
        <w:spacing w:line="360" w:lineRule="auto"/>
        <w:ind w:firstLine="708"/>
        <w:jc w:val="both"/>
      </w:pPr>
      <w:r w:rsidRPr="00B60B17">
        <w:t xml:space="preserve">В </w:t>
      </w:r>
      <w:r w:rsidR="001C46F3">
        <w:t>теоретической статье</w:t>
      </w:r>
      <w:r w:rsidRPr="00B60B17">
        <w:t xml:space="preserve"> </w:t>
      </w:r>
      <w:r w:rsidRPr="00B60B17">
        <w:rPr>
          <w:rFonts w:eastAsiaTheme="minorEastAsia"/>
          <w:lang w:eastAsia="ja-JP"/>
        </w:rPr>
        <w:t xml:space="preserve">Besstremyannaya </w:t>
      </w:r>
      <w:proofErr w:type="spellStart"/>
      <w:r w:rsidRPr="00B60B17">
        <w:rPr>
          <w:rFonts w:eastAsiaTheme="minorEastAsia"/>
          <w:lang w:eastAsia="ja-JP"/>
        </w:rPr>
        <w:t>and</w:t>
      </w:r>
      <w:proofErr w:type="spellEnd"/>
      <w:r w:rsidRPr="00B60B17">
        <w:rPr>
          <w:rFonts w:eastAsiaTheme="minorEastAsia"/>
          <w:lang w:eastAsia="ja-JP"/>
        </w:rPr>
        <w:t xml:space="preserve"> </w:t>
      </w:r>
      <w:proofErr w:type="spellStart"/>
      <w:r w:rsidRPr="00B60B17">
        <w:rPr>
          <w:rFonts w:eastAsiaTheme="minorEastAsia"/>
          <w:lang w:eastAsia="ja-JP"/>
        </w:rPr>
        <w:t>Golovan</w:t>
      </w:r>
      <w:proofErr w:type="spellEnd"/>
      <w:r w:rsidRPr="00B60B17">
        <w:rPr>
          <w:rFonts w:eastAsiaTheme="minorEastAsia"/>
          <w:lang w:eastAsia="ja-JP"/>
        </w:rPr>
        <w:t xml:space="preserve"> (2019</w:t>
      </w:r>
      <w:r w:rsidR="00CE7F3E">
        <w:rPr>
          <w:rFonts w:eastAsiaTheme="minorEastAsia"/>
          <w:lang w:val="en-US" w:eastAsia="ja-JP"/>
        </w:rPr>
        <w:t>a</w:t>
      </w:r>
      <w:r w:rsidRPr="00B60B17">
        <w:rPr>
          <w:rFonts w:eastAsiaTheme="minorEastAsia"/>
          <w:lang w:eastAsia="ja-JP"/>
        </w:rPr>
        <w:t>), а также расширенных версиях (</w:t>
      </w:r>
      <w:r w:rsidRPr="00B60B17">
        <w:rPr>
          <w:rFonts w:eastAsiaTheme="minorEastAsia"/>
          <w:lang w:val="en-US" w:eastAsia="ja-JP"/>
        </w:rPr>
        <w:t>Besstremyannaya</w:t>
      </w:r>
      <w:r w:rsidRPr="00B60B17">
        <w:rPr>
          <w:rFonts w:eastAsiaTheme="minorEastAsia"/>
          <w:lang w:eastAsia="ja-JP"/>
        </w:rPr>
        <w:t xml:space="preserve"> </w:t>
      </w:r>
      <w:r w:rsidRPr="00B60B17">
        <w:rPr>
          <w:rFonts w:eastAsiaTheme="minorEastAsia"/>
          <w:lang w:val="en-US" w:eastAsia="ja-JP"/>
        </w:rPr>
        <w:t>and</w:t>
      </w:r>
      <w:r w:rsidRPr="00B60B17">
        <w:rPr>
          <w:rFonts w:eastAsiaTheme="minorEastAsia"/>
          <w:lang w:eastAsia="ja-JP"/>
        </w:rPr>
        <w:t xml:space="preserve"> </w:t>
      </w:r>
      <w:r w:rsidRPr="00B60B17">
        <w:rPr>
          <w:rFonts w:eastAsiaTheme="minorEastAsia"/>
          <w:lang w:val="en-US" w:eastAsia="ja-JP"/>
        </w:rPr>
        <w:t>Golovan</w:t>
      </w:r>
      <w:r w:rsidRPr="00B60B17">
        <w:rPr>
          <w:rFonts w:eastAsiaTheme="minorEastAsia"/>
          <w:lang w:eastAsia="ja-JP"/>
        </w:rPr>
        <w:t>, 2019</w:t>
      </w:r>
      <w:r w:rsidR="00CE7F3E">
        <w:rPr>
          <w:rFonts w:eastAsiaTheme="minorEastAsia"/>
          <w:lang w:val="en-US" w:eastAsia="ja-JP"/>
        </w:rPr>
        <w:t>c</w:t>
      </w:r>
      <w:r w:rsidRPr="00B60B17">
        <w:rPr>
          <w:rFonts w:eastAsiaTheme="minorEastAsia"/>
          <w:lang w:eastAsia="ja-JP"/>
        </w:rPr>
        <w:t>, 2018</w:t>
      </w:r>
      <w:proofErr w:type="gramStart"/>
      <w:r w:rsidRPr="00B60B17">
        <w:rPr>
          <w:rFonts w:eastAsiaTheme="minorEastAsia"/>
          <w:lang w:eastAsia="ja-JP"/>
        </w:rPr>
        <w:t xml:space="preserve">) </w:t>
      </w:r>
      <w:r w:rsidR="003A3D3F" w:rsidRPr="00B60B17">
        <w:rPr>
          <w:rFonts w:eastAsiaTheme="minorEastAsia"/>
          <w:lang w:eastAsia="ja-JP"/>
        </w:rPr>
        <w:t xml:space="preserve"> более</w:t>
      </w:r>
      <w:proofErr w:type="gramEnd"/>
      <w:r w:rsidR="003A3D3F" w:rsidRPr="00B60B17">
        <w:rPr>
          <w:rFonts w:eastAsiaTheme="minorEastAsia"/>
          <w:lang w:eastAsia="ja-JP"/>
        </w:rPr>
        <w:t xml:space="preserve"> подробно рассматривается</w:t>
      </w:r>
      <w:r w:rsidRPr="00B60B17">
        <w:t xml:space="preserve"> предложенная в работе </w:t>
      </w:r>
      <w:proofErr w:type="spellStart"/>
      <w:r w:rsidRPr="00B60B17">
        <w:rPr>
          <w:rFonts w:eastAsiaTheme="minorEastAsia"/>
          <w:lang w:eastAsia="ja-JP"/>
        </w:rPr>
        <w:t>Canay</w:t>
      </w:r>
      <w:proofErr w:type="spellEnd"/>
      <w:r w:rsidRPr="00B60B17">
        <w:rPr>
          <w:rFonts w:eastAsiaTheme="minorEastAsia"/>
          <w:lang w:eastAsia="ja-JP"/>
        </w:rPr>
        <w:t xml:space="preserve"> (2011)</w:t>
      </w:r>
      <w:r w:rsidR="003A3D3F" w:rsidRPr="00B60B17">
        <w:rPr>
          <w:rFonts w:eastAsiaTheme="minorEastAsia"/>
          <w:lang w:eastAsia="ja-JP"/>
        </w:rPr>
        <w:t xml:space="preserve"> </w:t>
      </w:r>
      <w:r w:rsidR="003A3D3F" w:rsidRPr="00B60B17">
        <w:t xml:space="preserve">оценка </w:t>
      </w:r>
      <w:proofErr w:type="spellStart"/>
      <w:r w:rsidR="003A3D3F" w:rsidRPr="00B60B17">
        <w:t>квантильных</w:t>
      </w:r>
      <w:proofErr w:type="spellEnd"/>
      <w:r w:rsidR="003A3D3F" w:rsidRPr="00B60B17">
        <w:t xml:space="preserve"> регрессий с фиксированным</w:t>
      </w:r>
      <w:r w:rsidR="00AD3BC3">
        <w:t>и эффекта</w:t>
      </w:r>
      <w:r w:rsidR="003A3D3F" w:rsidRPr="00B60B17">
        <w:t>м</w:t>
      </w:r>
      <w:r w:rsidR="00AD3BC3">
        <w:t>и, не зависящими от квантиля</w:t>
      </w:r>
      <w:r w:rsidRPr="00B60B17">
        <w:rPr>
          <w:rFonts w:eastAsiaTheme="minorEastAsia"/>
          <w:lang w:eastAsia="ja-JP"/>
        </w:rPr>
        <w:t xml:space="preserve">. </w:t>
      </w:r>
      <w:r w:rsidR="003A3D3F" w:rsidRPr="00B60B17">
        <w:rPr>
          <w:rFonts w:eastAsiaTheme="minorEastAsia"/>
          <w:lang w:eastAsia="ja-JP"/>
        </w:rPr>
        <w:t xml:space="preserve">Рекомендовано применять </w:t>
      </w:r>
      <w:r w:rsidR="00375C07" w:rsidRPr="00B60B17">
        <w:rPr>
          <w:rFonts w:eastAsiaTheme="minorEastAsia"/>
          <w:lang w:eastAsia="ja-JP"/>
        </w:rPr>
        <w:t xml:space="preserve">эту </w:t>
      </w:r>
      <w:r w:rsidR="003A3D3F" w:rsidRPr="00B60B17">
        <w:rPr>
          <w:rFonts w:eastAsiaTheme="minorEastAsia"/>
          <w:lang w:eastAsia="ja-JP"/>
        </w:rPr>
        <w:t xml:space="preserve">оценку </w:t>
      </w:r>
      <w:r w:rsidR="00375C07" w:rsidRPr="00B60B17">
        <w:rPr>
          <w:rFonts w:eastAsiaTheme="minorEastAsia"/>
          <w:lang w:eastAsia="ja-JP"/>
        </w:rPr>
        <w:t xml:space="preserve">только </w:t>
      </w:r>
      <w:r w:rsidR="003A3D3F" w:rsidRPr="00B60B17">
        <w:rPr>
          <w:rFonts w:eastAsiaTheme="minorEastAsia"/>
          <w:lang w:eastAsia="ja-JP"/>
        </w:rPr>
        <w:t xml:space="preserve">при низких значениях </w:t>
      </w:r>
      <w:r w:rsidR="003A3D3F" w:rsidRPr="00B60B17">
        <w:rPr>
          <w:i/>
          <w:lang w:val="en-US"/>
        </w:rPr>
        <w:t>n</w:t>
      </w:r>
      <w:r w:rsidR="003A3D3F" w:rsidRPr="00B60B17">
        <w:rPr>
          <w:i/>
        </w:rPr>
        <w:t xml:space="preserve"> / </w:t>
      </w:r>
      <w:r w:rsidR="003A3D3F" w:rsidRPr="00B60B17">
        <w:rPr>
          <w:i/>
          <w:lang w:val="en-US"/>
        </w:rPr>
        <w:t>T</w:t>
      </w:r>
      <w:r w:rsidR="003A3D3F" w:rsidRPr="00B60B17">
        <w:rPr>
          <w:i/>
        </w:rPr>
        <w:t xml:space="preserve"> – </w:t>
      </w:r>
      <w:r w:rsidR="003A3D3F" w:rsidRPr="00B60B17">
        <w:t xml:space="preserve">числа наблюдений в каждый </w:t>
      </w:r>
      <w:proofErr w:type="spellStart"/>
      <w:r w:rsidR="003A3D3F" w:rsidRPr="00B60B17">
        <w:t>момет</w:t>
      </w:r>
      <w:proofErr w:type="spellEnd"/>
      <w:r w:rsidR="003A3D3F" w:rsidRPr="00B60B17">
        <w:t xml:space="preserve"> времени к числу временных периодов.</w:t>
      </w:r>
      <w:r w:rsidR="003A3D3F" w:rsidRPr="00B60B17">
        <w:rPr>
          <w:i/>
        </w:rPr>
        <w:t xml:space="preserve"> </w:t>
      </w:r>
      <w:r w:rsidR="003A3D3F" w:rsidRPr="00B60B17">
        <w:rPr>
          <w:rFonts w:eastAsiaTheme="minorEastAsia"/>
          <w:lang w:eastAsia="ja-JP"/>
        </w:rPr>
        <w:t xml:space="preserve"> </w:t>
      </w:r>
      <w:r w:rsidRPr="00B60B17">
        <w:rPr>
          <w:rFonts w:eastAsiaTheme="minorEastAsia"/>
          <w:lang w:eastAsia="ja-JP"/>
        </w:rPr>
        <w:t>П</w:t>
      </w:r>
      <w:r w:rsidR="00375C07" w:rsidRPr="00B60B17">
        <w:rPr>
          <w:rFonts w:eastAsiaTheme="minorEastAsia"/>
          <w:lang w:eastAsia="ja-JP"/>
        </w:rPr>
        <w:t>ричиной такой рекомендации стало найденное авторами</w:t>
      </w:r>
      <w:r w:rsidRPr="00B60B17">
        <w:rPr>
          <w:rFonts w:eastAsiaTheme="minorEastAsia"/>
          <w:lang w:eastAsia="ja-JP"/>
        </w:rPr>
        <w:t xml:space="preserve"> существование двух видов асимптотического смещения данной оценки</w:t>
      </w:r>
      <w:r w:rsidR="00375C07" w:rsidRPr="00B60B17">
        <w:rPr>
          <w:rFonts w:eastAsiaTheme="minorEastAsia"/>
          <w:lang w:eastAsia="ja-JP"/>
        </w:rPr>
        <w:t>. В статье</w:t>
      </w:r>
      <w:r w:rsidRPr="00B60B17">
        <w:rPr>
          <w:rFonts w:eastAsiaTheme="minorEastAsia"/>
          <w:lang w:eastAsia="ja-JP"/>
        </w:rPr>
        <w:t xml:space="preserve"> предлагаются рекомендации для практиков, связанные с размером выборки и временного горизонта, а также с использованием метода </w:t>
      </w:r>
      <w:proofErr w:type="spellStart"/>
      <w:r w:rsidRPr="00B60B17">
        <w:rPr>
          <w:rFonts w:eastAsiaTheme="minorEastAsia"/>
          <w:lang w:eastAsia="ja-JP"/>
        </w:rPr>
        <w:t>бутстрапа</w:t>
      </w:r>
      <w:proofErr w:type="spellEnd"/>
      <w:r w:rsidRPr="00B60B17">
        <w:rPr>
          <w:rFonts w:eastAsiaTheme="minorEastAsia"/>
          <w:lang w:eastAsia="ja-JP"/>
        </w:rPr>
        <w:t xml:space="preserve"> вместо асимптотических стандартных ошибок. </w:t>
      </w:r>
      <w:proofErr w:type="spellStart"/>
      <w:r w:rsidRPr="00B60B17">
        <w:rPr>
          <w:rFonts w:eastAsiaTheme="minorEastAsia"/>
          <w:lang w:eastAsia="ja-JP"/>
        </w:rPr>
        <w:t>Симул</w:t>
      </w:r>
      <w:r w:rsidR="00216938" w:rsidRPr="00B60B17">
        <w:rPr>
          <w:rFonts w:eastAsiaTheme="minorEastAsia"/>
          <w:lang w:eastAsia="ja-JP"/>
        </w:rPr>
        <w:t>я</w:t>
      </w:r>
      <w:r w:rsidRPr="00B60B17">
        <w:rPr>
          <w:rFonts w:eastAsiaTheme="minorEastAsia"/>
          <w:lang w:eastAsia="ja-JP"/>
        </w:rPr>
        <w:t>ционный</w:t>
      </w:r>
      <w:proofErr w:type="spellEnd"/>
      <w:r w:rsidRPr="00B60B17">
        <w:rPr>
          <w:rFonts w:eastAsiaTheme="minorEastAsia"/>
          <w:lang w:eastAsia="ja-JP"/>
        </w:rPr>
        <w:t xml:space="preserve"> анализ в работе</w:t>
      </w:r>
      <w:r w:rsidRPr="00B60B17">
        <w:t xml:space="preserve"> демонстрирует проблемы, связанные с этими двумя ошибками и их последствия </w:t>
      </w:r>
      <w:r w:rsidR="00AD3BC3">
        <w:t xml:space="preserve">для </w:t>
      </w:r>
      <w:r w:rsidRPr="00B60B17">
        <w:t>эмпирического оценивания. В заключении приве</w:t>
      </w:r>
      <w:r w:rsidR="00375C07" w:rsidRPr="00B60B17">
        <w:t>дены выводы на основе осуществленного авторами</w:t>
      </w:r>
      <w:r w:rsidRPr="00B60B17">
        <w:t xml:space="preserve"> мета-обзор</w:t>
      </w:r>
      <w:r w:rsidR="00375C07" w:rsidRPr="00B60B17">
        <w:t>а</w:t>
      </w:r>
      <w:r w:rsidRPr="00B60B17">
        <w:t xml:space="preserve"> прикладных работ</w:t>
      </w:r>
      <w:r w:rsidR="00AD3BC3">
        <w:t xml:space="preserve"> с </w:t>
      </w:r>
      <w:r w:rsidR="00AD3BC3" w:rsidRPr="00B60B17">
        <w:t>использованием оценки Каная</w:t>
      </w:r>
      <w:r w:rsidRPr="00B60B17">
        <w:t>,</w:t>
      </w:r>
      <w:r w:rsidRPr="00B60B17">
        <w:t xml:space="preserve"> опубликованных в журналах </w:t>
      </w:r>
      <w:r w:rsidRPr="00B60B17">
        <w:rPr>
          <w:rFonts w:eastAsiaTheme="minorEastAsia"/>
          <w:lang w:val="en-US" w:eastAsia="ja-JP"/>
        </w:rPr>
        <w:t>Web</w:t>
      </w:r>
      <w:r w:rsidRPr="00B60B17">
        <w:rPr>
          <w:rFonts w:eastAsiaTheme="minorEastAsia"/>
          <w:lang w:eastAsia="ja-JP"/>
        </w:rPr>
        <w:t xml:space="preserve"> </w:t>
      </w:r>
      <w:r w:rsidRPr="00B60B17">
        <w:rPr>
          <w:rFonts w:eastAsiaTheme="minorEastAsia"/>
          <w:lang w:val="en-US" w:eastAsia="ja-JP"/>
        </w:rPr>
        <w:t>of</w:t>
      </w:r>
      <w:r w:rsidRPr="00B60B17">
        <w:rPr>
          <w:rFonts w:eastAsiaTheme="minorEastAsia"/>
          <w:lang w:eastAsia="ja-JP"/>
        </w:rPr>
        <w:t xml:space="preserve"> </w:t>
      </w:r>
      <w:proofErr w:type="gramStart"/>
      <w:r w:rsidRPr="00B60B17">
        <w:rPr>
          <w:rFonts w:eastAsiaTheme="minorEastAsia"/>
          <w:lang w:val="en-US" w:eastAsia="ja-JP"/>
        </w:rPr>
        <w:t>Science</w:t>
      </w:r>
      <w:r w:rsidR="00375C07" w:rsidRPr="00B60B17">
        <w:rPr>
          <w:rFonts w:eastAsiaTheme="minorEastAsia"/>
          <w:lang w:eastAsia="ja-JP"/>
        </w:rPr>
        <w:t xml:space="preserve">  </w:t>
      </w:r>
      <w:r w:rsidR="00375C07" w:rsidRPr="00B60B17">
        <w:t>(</w:t>
      </w:r>
      <w:proofErr w:type="gramEnd"/>
      <w:r w:rsidR="00375C07" w:rsidRPr="00B60B17">
        <w:t>более 80 статей на</w:t>
      </w:r>
      <w:r w:rsidR="00AD3BC3">
        <w:t xml:space="preserve"> момент написания статьи</w:t>
      </w:r>
      <w:r w:rsidR="00375C07" w:rsidRPr="00B60B17">
        <w:t xml:space="preserve"> </w:t>
      </w:r>
      <w:r w:rsidR="00AD3BC3">
        <w:t>в кон</w:t>
      </w:r>
      <w:r w:rsidR="00375C07" w:rsidRPr="00B60B17">
        <w:t>ц</w:t>
      </w:r>
      <w:r w:rsidR="00AD3BC3">
        <w:t>е</w:t>
      </w:r>
      <w:r w:rsidR="00375C07" w:rsidRPr="00B60B17">
        <w:t xml:space="preserve"> 2018 г.)</w:t>
      </w:r>
      <w:r w:rsidRPr="00B60B17">
        <w:t>.</w:t>
      </w:r>
      <w:r w:rsidR="00216938" w:rsidRPr="00B60B17">
        <w:t xml:space="preserve"> </w:t>
      </w:r>
    </w:p>
    <w:p w:rsidR="00216938" w:rsidRPr="00B60B17" w:rsidRDefault="00216938" w:rsidP="00B60B17">
      <w:pPr>
        <w:spacing w:line="360" w:lineRule="auto"/>
        <w:ind w:firstLine="708"/>
        <w:jc w:val="both"/>
      </w:pPr>
      <w:r w:rsidRPr="00B60B17">
        <w:lastRenderedPageBreak/>
        <w:t xml:space="preserve">Как подробнее </w:t>
      </w:r>
      <w:r w:rsidR="00375C07" w:rsidRPr="00B60B17">
        <w:t>указано</w:t>
      </w:r>
      <w:r w:rsidRPr="00B60B17">
        <w:t xml:space="preserve"> в </w:t>
      </w:r>
      <w:r w:rsidR="00AD3BC3">
        <w:t>этом</w:t>
      </w:r>
      <w:r w:rsidR="00375C07" w:rsidRPr="00B60B17">
        <w:t xml:space="preserve"> мета-обзоре, опубликованном в </w:t>
      </w:r>
      <w:r w:rsidRPr="00B60B17">
        <w:t xml:space="preserve">приложении к статье </w:t>
      </w:r>
      <w:r w:rsidRPr="00B60B17">
        <w:rPr>
          <w:lang w:val="en-US"/>
        </w:rPr>
        <w:t>Besstremyannaya</w:t>
      </w:r>
      <w:r w:rsidR="009C46DA" w:rsidRPr="00B60B17">
        <w:t xml:space="preserve"> </w:t>
      </w:r>
      <w:r w:rsidR="009C46DA" w:rsidRPr="00B60B17">
        <w:rPr>
          <w:rFonts w:eastAsiaTheme="minorEastAsia"/>
          <w:lang w:val="en-US" w:eastAsia="ja-JP"/>
        </w:rPr>
        <w:t>and</w:t>
      </w:r>
      <w:r w:rsidRPr="00B60B17">
        <w:t xml:space="preserve"> </w:t>
      </w:r>
      <w:r w:rsidRPr="00B60B17">
        <w:rPr>
          <w:lang w:val="en-US"/>
        </w:rPr>
        <w:t>Golovan</w:t>
      </w:r>
      <w:r w:rsidRPr="00B60B17">
        <w:t xml:space="preserve"> (2019</w:t>
      </w:r>
      <w:r w:rsidR="00CE7F3E">
        <w:rPr>
          <w:lang w:val="en-US"/>
        </w:rPr>
        <w:t>c</w:t>
      </w:r>
      <w:r w:rsidRPr="00B60B17">
        <w:t xml:space="preserve">), оценка Каная используется в литературе </w:t>
      </w:r>
      <w:proofErr w:type="gramStart"/>
      <w:r w:rsidRPr="00B60B17">
        <w:t>по  макроэкономике</w:t>
      </w:r>
      <w:proofErr w:type="gramEnd"/>
      <w:r w:rsidRPr="00B60B17">
        <w:t xml:space="preserve">, микроэкономике и финансам. Оценка часто применяется для анализа макроэкономических данных по </w:t>
      </w:r>
      <w:r w:rsidR="00AD3BC3">
        <w:t xml:space="preserve">международной торговле и </w:t>
      </w:r>
      <w:r w:rsidRPr="00B60B17">
        <w:t>э</w:t>
      </w:r>
      <w:r w:rsidRPr="00B60B17">
        <w:t>кономике ро</w:t>
      </w:r>
      <w:r w:rsidR="00AD3BC3">
        <w:t>ста</w:t>
      </w:r>
      <w:r w:rsidRPr="00B60B17">
        <w:t>. Среди особенно интер</w:t>
      </w:r>
      <w:r w:rsidR="00AD3BC3">
        <w:t xml:space="preserve">есных примеров </w:t>
      </w:r>
      <w:r w:rsidRPr="00B60B17">
        <w:t xml:space="preserve">можно привести исследования о рейтинге глав </w:t>
      </w:r>
      <w:r w:rsidR="00AD3BC3">
        <w:t>государств</w:t>
      </w:r>
      <w:r w:rsidRPr="00B60B17">
        <w:t xml:space="preserve"> или важности языкового многообразия в странах Европейского союза (</w:t>
      </w:r>
      <w:r w:rsidRPr="00B60B17">
        <w:rPr>
          <w:lang w:val="en-US"/>
        </w:rPr>
        <w:t>Fuchs</w:t>
      </w:r>
      <w:r w:rsidR="009C46DA" w:rsidRPr="00B60B17">
        <w:t xml:space="preserve"> </w:t>
      </w:r>
      <w:proofErr w:type="spellStart"/>
      <w:r w:rsidR="009C46DA" w:rsidRPr="00B60B17">
        <w:t>and</w:t>
      </w:r>
      <w:proofErr w:type="spellEnd"/>
      <w:r w:rsidR="009C46DA" w:rsidRPr="00B60B17">
        <w:t xml:space="preserve"> </w:t>
      </w:r>
      <w:proofErr w:type="spellStart"/>
      <w:r w:rsidRPr="00B60B17">
        <w:rPr>
          <w:lang w:val="en-US"/>
        </w:rPr>
        <w:t>Gehring</w:t>
      </w:r>
      <w:proofErr w:type="spellEnd"/>
      <w:r w:rsidRPr="00B60B17">
        <w:t xml:space="preserve">, 2017, </w:t>
      </w:r>
      <w:proofErr w:type="spellStart"/>
      <w:r w:rsidRPr="00B60B17">
        <w:rPr>
          <w:lang w:val="en-US"/>
        </w:rPr>
        <w:t>Fidrmuc</w:t>
      </w:r>
      <w:proofErr w:type="spellEnd"/>
      <w:r w:rsidR="009C46DA" w:rsidRPr="00B60B17">
        <w:t xml:space="preserve"> </w:t>
      </w:r>
      <w:proofErr w:type="spellStart"/>
      <w:r w:rsidR="009C46DA" w:rsidRPr="00B60B17">
        <w:t>and</w:t>
      </w:r>
      <w:proofErr w:type="spellEnd"/>
      <w:r w:rsidRPr="00B60B17">
        <w:t xml:space="preserve"> ​​</w:t>
      </w:r>
      <w:proofErr w:type="spellStart"/>
      <w:r w:rsidRPr="00B60B17">
        <w:rPr>
          <w:lang w:val="en-US"/>
        </w:rPr>
        <w:t>Fidrmuc</w:t>
      </w:r>
      <w:proofErr w:type="spellEnd"/>
      <w:r w:rsidRPr="00B60B17">
        <w:t xml:space="preserve">, 2016). Статьи со значениями </w:t>
      </w:r>
      <w:r w:rsidRPr="00B60B17">
        <w:rPr>
          <w:i/>
          <w:lang w:val="en-US"/>
        </w:rPr>
        <w:t>n</w:t>
      </w:r>
      <w:r w:rsidRPr="00B60B17">
        <w:rPr>
          <w:i/>
        </w:rPr>
        <w:t xml:space="preserve"> / </w:t>
      </w:r>
      <w:r w:rsidR="0023491C" w:rsidRPr="00B60B17">
        <w:rPr>
          <w:i/>
          <w:lang w:val="en-US"/>
        </w:rPr>
        <w:t>T</w:t>
      </w:r>
      <w:r w:rsidR="0023491C" w:rsidRPr="00B60B17">
        <w:t xml:space="preserve"> ниже</w:t>
      </w:r>
      <w:r w:rsidRPr="00B60B17">
        <w:t xml:space="preserve"> 1 или от 1 до 10 – это в основном длинные </w:t>
      </w:r>
      <w:proofErr w:type="spellStart"/>
      <w:r w:rsidRPr="00B60B17">
        <w:t>макропанели</w:t>
      </w:r>
      <w:proofErr w:type="spellEnd"/>
      <w:r w:rsidRPr="00B60B17">
        <w:t xml:space="preserve"> с годовыми данными по ряду стран. Большое значение </w:t>
      </w:r>
      <w:r w:rsidRPr="00B60B17">
        <w:rPr>
          <w:i/>
          <w:lang w:val="en-US"/>
        </w:rPr>
        <w:t>T</w:t>
      </w:r>
      <w:r w:rsidRPr="00B60B17">
        <w:t xml:space="preserve"> (и, следовательно, относительно низкое </w:t>
      </w:r>
      <w:r w:rsidRPr="00B60B17">
        <w:rPr>
          <w:i/>
          <w:lang w:val="en-US"/>
        </w:rPr>
        <w:t>n</w:t>
      </w:r>
      <w:r w:rsidRPr="00B60B17">
        <w:rPr>
          <w:i/>
        </w:rPr>
        <w:t xml:space="preserve"> / </w:t>
      </w:r>
      <w:r w:rsidRPr="00B60B17">
        <w:rPr>
          <w:i/>
          <w:lang w:val="en-US"/>
        </w:rPr>
        <w:t>T</w:t>
      </w:r>
      <w:r w:rsidRPr="00B60B17">
        <w:t xml:space="preserve">) может здесь можно достичь, используя квартальные данные о регионах или фирмах. </w:t>
      </w:r>
      <w:r w:rsidR="00375C07" w:rsidRPr="00B60B17">
        <w:t xml:space="preserve">Однако </w:t>
      </w:r>
      <w:r w:rsidR="0023491C" w:rsidRPr="00B60B17">
        <w:t>только небольшая</w:t>
      </w:r>
      <w:r w:rsidRPr="00B60B17">
        <w:t xml:space="preserve"> часть прикладных работ использует данные с низкими значениями </w:t>
      </w:r>
      <w:r w:rsidRPr="00B60B17">
        <w:rPr>
          <w:i/>
          <w:lang w:val="en-US"/>
        </w:rPr>
        <w:t>n</w:t>
      </w:r>
      <w:r w:rsidRPr="00B60B17">
        <w:rPr>
          <w:i/>
        </w:rPr>
        <w:t xml:space="preserve"> / </w:t>
      </w:r>
      <w:r w:rsidRPr="00B60B17">
        <w:rPr>
          <w:i/>
          <w:lang w:val="en-US"/>
        </w:rPr>
        <w:t>T</w:t>
      </w:r>
      <w:r w:rsidRPr="00B60B17">
        <w:t xml:space="preserve"> и большими</w:t>
      </w:r>
      <w:r w:rsidRPr="00B60B17">
        <w:rPr>
          <w:i/>
        </w:rPr>
        <w:t xml:space="preserve"> </w:t>
      </w:r>
      <w:r w:rsidRPr="00B60B17">
        <w:rPr>
          <w:i/>
          <w:lang w:val="en-US"/>
        </w:rPr>
        <w:t>T</w:t>
      </w:r>
      <w:r w:rsidRPr="00B60B17">
        <w:t xml:space="preserve">. Можно утверждать, что эти работы обеспечивают правильный вывод о коэффициентах и о стандартной ошибке при использовании метода </w:t>
      </w:r>
      <w:proofErr w:type="spellStart"/>
      <w:r w:rsidRPr="00B60B17">
        <w:t>бутстрапа</w:t>
      </w:r>
      <w:proofErr w:type="spellEnd"/>
      <w:r w:rsidRPr="00B60B17">
        <w:t xml:space="preserve">. </w:t>
      </w:r>
    </w:p>
    <w:p w:rsidR="00216938" w:rsidRPr="00B60B17" w:rsidRDefault="00216938" w:rsidP="00B60B17">
      <w:pPr>
        <w:pStyle w:val="BodyText"/>
        <w:spacing w:after="0" w:line="360" w:lineRule="auto"/>
        <w:ind w:firstLine="720"/>
        <w:jc w:val="both"/>
      </w:pPr>
      <w:r w:rsidRPr="00B60B17">
        <w:t xml:space="preserve">В </w:t>
      </w:r>
      <w:r w:rsidR="00375C07" w:rsidRPr="00B60B17">
        <w:t>продолжени</w:t>
      </w:r>
      <w:r w:rsidR="00CE7F3E">
        <w:t>е</w:t>
      </w:r>
      <w:r w:rsidR="00375C07" w:rsidRPr="00B60B17">
        <w:t xml:space="preserve"> тематик</w:t>
      </w:r>
      <w:r w:rsidR="00CE7F3E">
        <w:t>и</w:t>
      </w:r>
      <w:r w:rsidR="00375C07" w:rsidRPr="00B60B17">
        <w:t xml:space="preserve"> использования </w:t>
      </w:r>
      <w:proofErr w:type="spellStart"/>
      <w:r w:rsidR="00375C07" w:rsidRPr="00B60B17">
        <w:t>квантильных</w:t>
      </w:r>
      <w:proofErr w:type="spellEnd"/>
      <w:r w:rsidR="00375C07" w:rsidRPr="00B60B17">
        <w:t xml:space="preserve"> регрессий для коротких панелей, в </w:t>
      </w:r>
      <w:r w:rsidRPr="00B60B17">
        <w:t xml:space="preserve">работе </w:t>
      </w:r>
      <w:r w:rsidRPr="00B60B17">
        <w:rPr>
          <w:rFonts w:eastAsiaTheme="minorEastAsia"/>
          <w:lang w:val="en-US" w:eastAsia="ja-JP"/>
        </w:rPr>
        <w:t>Besstremyannaya</w:t>
      </w:r>
      <w:r w:rsidRPr="00B60B17">
        <w:rPr>
          <w:rFonts w:eastAsiaTheme="minorEastAsia"/>
          <w:lang w:eastAsia="ja-JP"/>
        </w:rPr>
        <w:t xml:space="preserve"> </w:t>
      </w:r>
      <w:r w:rsidRPr="00B60B17">
        <w:rPr>
          <w:rFonts w:eastAsiaTheme="minorEastAsia"/>
          <w:lang w:val="en-US" w:eastAsia="ja-JP"/>
        </w:rPr>
        <w:t>and</w:t>
      </w:r>
      <w:r w:rsidRPr="00B60B17">
        <w:rPr>
          <w:rFonts w:eastAsiaTheme="minorEastAsia"/>
          <w:lang w:eastAsia="ja-JP"/>
        </w:rPr>
        <w:t xml:space="preserve"> </w:t>
      </w:r>
      <w:r w:rsidRPr="00B60B17">
        <w:rPr>
          <w:rFonts w:eastAsiaTheme="minorEastAsia"/>
          <w:lang w:val="en-US" w:eastAsia="ja-JP"/>
        </w:rPr>
        <w:t>Golovan</w:t>
      </w:r>
      <w:r w:rsidRPr="00B60B17">
        <w:rPr>
          <w:rFonts w:eastAsiaTheme="minorEastAsia"/>
          <w:lang w:eastAsia="ja-JP"/>
        </w:rPr>
        <w:t xml:space="preserve"> (2021) </w:t>
      </w:r>
      <w:r w:rsidRPr="00B60B17">
        <w:t xml:space="preserve">рассказывается о методе сглаженной </w:t>
      </w:r>
      <w:proofErr w:type="spellStart"/>
      <w:r w:rsidRPr="00B60B17">
        <w:t>квантильной</w:t>
      </w:r>
      <w:proofErr w:type="spellEnd"/>
      <w:r w:rsidRPr="00B60B17">
        <w:t xml:space="preserve"> </w:t>
      </w:r>
      <w:r w:rsidR="001C46F3" w:rsidRPr="00B60B17">
        <w:t>регрессии</w:t>
      </w:r>
      <w:r w:rsidRPr="00B60B17">
        <w:t xml:space="preserve"> (</w:t>
      </w:r>
      <w:proofErr w:type="spellStart"/>
      <w:r w:rsidRPr="00B60B17">
        <w:t>smoothed</w:t>
      </w:r>
      <w:proofErr w:type="spellEnd"/>
      <w:r w:rsidRPr="00B60B17">
        <w:t xml:space="preserve"> </w:t>
      </w:r>
      <w:proofErr w:type="spellStart"/>
      <w:r w:rsidRPr="00B60B17">
        <w:t>quantile</w:t>
      </w:r>
      <w:proofErr w:type="spellEnd"/>
      <w:r w:rsidRPr="00B60B17">
        <w:t xml:space="preserve"> </w:t>
      </w:r>
      <w:proofErr w:type="spellStart"/>
      <w:r w:rsidRPr="00B60B17">
        <w:t>regression</w:t>
      </w:r>
      <w:proofErr w:type="spellEnd"/>
      <w:r w:rsidRPr="00B60B17">
        <w:t>)</w:t>
      </w:r>
      <w:r w:rsidR="00CE7F3E">
        <w:t xml:space="preserve">, разработанной в статье </w:t>
      </w:r>
      <w:proofErr w:type="spellStart"/>
      <w:r w:rsidR="00CE7F3E">
        <w:t>Galvao</w:t>
      </w:r>
      <w:proofErr w:type="spellEnd"/>
      <w:r w:rsidR="00CE7F3E">
        <w:t xml:space="preserve"> </w:t>
      </w:r>
      <w:proofErr w:type="spellStart"/>
      <w:r w:rsidR="00CE7F3E">
        <w:t>and</w:t>
      </w:r>
      <w:proofErr w:type="spellEnd"/>
      <w:r w:rsidRPr="00B60B17">
        <w:t xml:space="preserve"> </w:t>
      </w:r>
      <w:proofErr w:type="spellStart"/>
      <w:r w:rsidRPr="00B60B17">
        <w:t>Kato</w:t>
      </w:r>
      <w:proofErr w:type="spellEnd"/>
      <w:r w:rsidRPr="00B60B17">
        <w:t xml:space="preserve"> (2016). Этот метод позволяет уменьшить асимптотическое смещение оценки в </w:t>
      </w:r>
      <w:proofErr w:type="spellStart"/>
      <w:r w:rsidRPr="00B60B17">
        <w:t>квантильной</w:t>
      </w:r>
      <w:proofErr w:type="spellEnd"/>
      <w:r w:rsidRPr="00B60B17">
        <w:t xml:space="preserve"> регрессии с короткими панелями и экзогенными регрессорами. Метод применим </w:t>
      </w:r>
      <w:r w:rsidR="00AD3BC3">
        <w:t xml:space="preserve">как </w:t>
      </w:r>
      <w:r w:rsidRPr="00B60B17">
        <w:t xml:space="preserve">для оценок с </w:t>
      </w:r>
      <w:proofErr w:type="gramStart"/>
      <w:r w:rsidRPr="00B60B17">
        <w:t>фиксированными эффектами</w:t>
      </w:r>
      <w:proofErr w:type="gramEnd"/>
      <w:r w:rsidRPr="00B60B17">
        <w:t xml:space="preserve"> зависящими от квантиля, так и в более частном случае - для оценок с фиксированными эффектами</w:t>
      </w:r>
      <w:r w:rsidR="00AD3BC3">
        <w:t>,</w:t>
      </w:r>
      <w:r w:rsidRPr="00B60B17">
        <w:t xml:space="preserve"> не зависящими от квантиля. </w:t>
      </w:r>
      <w:r w:rsidR="00651D3D" w:rsidRPr="00B60B17">
        <w:t xml:space="preserve">В начале </w:t>
      </w:r>
      <w:r w:rsidR="00B11F52" w:rsidRPr="00B60B17">
        <w:t>статьи</w:t>
      </w:r>
      <w:r w:rsidRPr="00B60B17">
        <w:t xml:space="preserve"> представлена спецификация и процедура оценивания </w:t>
      </w:r>
      <w:proofErr w:type="spellStart"/>
      <w:r w:rsidRPr="00B60B17">
        <w:t>квантильной</w:t>
      </w:r>
      <w:proofErr w:type="spellEnd"/>
      <w:r w:rsidRPr="00B60B17">
        <w:t xml:space="preserve"> регрессии для кросс-секционных данных (</w:t>
      </w:r>
      <w:proofErr w:type="spellStart"/>
      <w:r w:rsidRPr="00B60B17">
        <w:t>cross-section</w:t>
      </w:r>
      <w:proofErr w:type="spellEnd"/>
      <w:r w:rsidRPr="00B60B17">
        <w:t xml:space="preserve"> </w:t>
      </w:r>
      <w:proofErr w:type="spellStart"/>
      <w:r w:rsidRPr="00B60B17">
        <w:t>model</w:t>
      </w:r>
      <w:proofErr w:type="spellEnd"/>
      <w:r w:rsidRPr="00B60B17">
        <w:t>), а затем для сквозных данных (</w:t>
      </w:r>
      <w:proofErr w:type="spellStart"/>
      <w:r w:rsidRPr="00B60B17">
        <w:t>pooled</w:t>
      </w:r>
      <w:proofErr w:type="spellEnd"/>
      <w:r w:rsidRPr="00B60B17">
        <w:t xml:space="preserve"> </w:t>
      </w:r>
      <w:proofErr w:type="spellStart"/>
      <w:r w:rsidRPr="00B60B17">
        <w:t>data</w:t>
      </w:r>
      <w:proofErr w:type="spellEnd"/>
      <w:r w:rsidRPr="00B60B17">
        <w:t xml:space="preserve"> </w:t>
      </w:r>
      <w:proofErr w:type="spellStart"/>
      <w:r w:rsidRPr="00B60B17">
        <w:t>model</w:t>
      </w:r>
      <w:proofErr w:type="spellEnd"/>
      <w:r w:rsidRPr="00B60B17">
        <w:t xml:space="preserve">).  Далее описана техника сглаживания в работе </w:t>
      </w:r>
      <w:proofErr w:type="spellStart"/>
      <w:r w:rsidRPr="00B60B17">
        <w:t>Galvao</w:t>
      </w:r>
      <w:proofErr w:type="spellEnd"/>
      <w:r w:rsidR="009C46DA" w:rsidRPr="00B60B17">
        <w:t xml:space="preserve"> </w:t>
      </w:r>
      <w:r w:rsidR="009C46DA" w:rsidRPr="00B60B17">
        <w:rPr>
          <w:lang w:val="en-US"/>
        </w:rPr>
        <w:t>and</w:t>
      </w:r>
      <w:r w:rsidRPr="00B60B17">
        <w:t xml:space="preserve"> </w:t>
      </w:r>
      <w:proofErr w:type="spellStart"/>
      <w:r w:rsidRPr="00B60B17">
        <w:t>Kato</w:t>
      </w:r>
      <w:proofErr w:type="spellEnd"/>
      <w:r w:rsidRPr="00B60B17">
        <w:t xml:space="preserve"> (2016) для модели панельной </w:t>
      </w:r>
      <w:proofErr w:type="spellStart"/>
      <w:r w:rsidRPr="00B60B17">
        <w:t>квантильной</w:t>
      </w:r>
      <w:proofErr w:type="spellEnd"/>
      <w:r w:rsidRPr="00B60B17">
        <w:t xml:space="preserve"> регрессии с фиксированными эффектами, зависящими от квантиля</w:t>
      </w:r>
      <w:r w:rsidR="00AD3BC3">
        <w:t>. Эта техника позволяет</w:t>
      </w:r>
      <w:r w:rsidRPr="00B60B17">
        <w:t xml:space="preserve"> уменьшить смещение сглаженной оценки в коротких панелях. В частности, для этого может применяться метод «складного ножа» и разделения панелей (</w:t>
      </w:r>
      <w:proofErr w:type="spellStart"/>
      <w:r w:rsidRPr="00B60B17">
        <w:t>split-panel</w:t>
      </w:r>
      <w:proofErr w:type="spellEnd"/>
      <w:r w:rsidRPr="00B60B17">
        <w:t xml:space="preserve"> </w:t>
      </w:r>
      <w:proofErr w:type="spellStart"/>
      <w:r w:rsidRPr="00B60B17">
        <w:t>jackknife</w:t>
      </w:r>
      <w:proofErr w:type="spellEnd"/>
      <w:r w:rsidRPr="00B60B17">
        <w:t xml:space="preserve"> </w:t>
      </w:r>
      <w:proofErr w:type="spellStart"/>
      <w:r w:rsidRPr="00B60B17">
        <w:t>estimator</w:t>
      </w:r>
      <w:proofErr w:type="spellEnd"/>
      <w:r w:rsidRPr="00B60B17">
        <w:t xml:space="preserve">), предложенный в статье </w:t>
      </w:r>
      <w:proofErr w:type="spellStart"/>
      <w:r w:rsidRPr="00B60B17">
        <w:t>Dhaene</w:t>
      </w:r>
      <w:proofErr w:type="spellEnd"/>
      <w:r w:rsidR="00651D3D" w:rsidRPr="00B60B17">
        <w:t xml:space="preserve"> </w:t>
      </w:r>
      <w:proofErr w:type="spellStart"/>
      <w:r w:rsidR="00651D3D" w:rsidRPr="00B60B17">
        <w:rPr>
          <w:rFonts w:eastAsiaTheme="minorEastAsia"/>
          <w:lang w:eastAsia="ja-JP"/>
        </w:rPr>
        <w:t>and</w:t>
      </w:r>
      <w:proofErr w:type="spellEnd"/>
      <w:r w:rsidR="00651D3D" w:rsidRPr="00B60B17">
        <w:t xml:space="preserve"> </w:t>
      </w:r>
      <w:proofErr w:type="spellStart"/>
      <w:r w:rsidR="00651D3D" w:rsidRPr="00B60B17">
        <w:t>Jochman</w:t>
      </w:r>
      <w:proofErr w:type="spellEnd"/>
      <w:r w:rsidRPr="00B60B17">
        <w:t xml:space="preserve"> </w:t>
      </w:r>
      <w:r w:rsidR="00651D3D" w:rsidRPr="00B60B17">
        <w:t>(</w:t>
      </w:r>
      <w:r w:rsidRPr="00B60B17">
        <w:t>2015</w:t>
      </w:r>
      <w:r w:rsidR="00651D3D" w:rsidRPr="00B60B17">
        <w:t>)</w:t>
      </w:r>
      <w:r w:rsidRPr="00B60B17">
        <w:t xml:space="preserve">. </w:t>
      </w:r>
      <w:r w:rsidR="00651D3D" w:rsidRPr="00B60B17">
        <w:t>Затем</w:t>
      </w:r>
      <w:r w:rsidRPr="00B60B17">
        <w:t xml:space="preserve"> рассматривается удобный для вычисления метод, предложенный в работе </w:t>
      </w:r>
      <w:proofErr w:type="spellStart"/>
      <w:r w:rsidRPr="00B60B17">
        <w:t>Canay</w:t>
      </w:r>
      <w:proofErr w:type="spellEnd"/>
      <w:r w:rsidRPr="00B60B17">
        <w:t xml:space="preserve"> (2011) для </w:t>
      </w:r>
      <w:proofErr w:type="spellStart"/>
      <w:r w:rsidRPr="00B60B17">
        <w:t>квантильных</w:t>
      </w:r>
      <w:proofErr w:type="spellEnd"/>
      <w:r w:rsidRPr="00B60B17">
        <w:t xml:space="preserve"> эффектов, не зависящих от квантиля. Этот метод </w:t>
      </w:r>
      <w:r w:rsidR="00AD3BC3">
        <w:t xml:space="preserve">был </w:t>
      </w:r>
      <w:r w:rsidRPr="00B60B17">
        <w:t>подвержен критике с точки зрения асимптотического смещения оценки (Besstremyannaya</w:t>
      </w:r>
      <w:r w:rsidR="00CE7F3E" w:rsidRPr="00CE7F3E">
        <w:t xml:space="preserve"> </w:t>
      </w:r>
      <w:r w:rsidR="00CE7F3E">
        <w:rPr>
          <w:lang w:val="en-US"/>
        </w:rPr>
        <w:t>and</w:t>
      </w:r>
      <w:r w:rsidRPr="00B60B17">
        <w:t xml:space="preserve"> </w:t>
      </w:r>
      <w:proofErr w:type="spellStart"/>
      <w:r w:rsidRPr="00B60B17">
        <w:t>Golovan</w:t>
      </w:r>
      <w:proofErr w:type="spellEnd"/>
      <w:r w:rsidRPr="00B60B17">
        <w:t>, 2019</w:t>
      </w:r>
      <w:r w:rsidR="00CE7F3E">
        <w:rPr>
          <w:lang w:val="en-US"/>
        </w:rPr>
        <w:t>a</w:t>
      </w:r>
      <w:r w:rsidRPr="00B60B17">
        <w:t xml:space="preserve">). </w:t>
      </w:r>
      <w:r w:rsidR="00651D3D" w:rsidRPr="00B60B17">
        <w:t xml:space="preserve">В качестве решения проблемы может рассматриваться </w:t>
      </w:r>
      <w:r w:rsidRPr="00B60B17">
        <w:t>уд</w:t>
      </w:r>
      <w:r w:rsidR="00651D3D" w:rsidRPr="00B60B17">
        <w:t xml:space="preserve">обный для вычисления метод </w:t>
      </w:r>
      <w:r w:rsidR="00AD3BC3">
        <w:t xml:space="preserve">из работы </w:t>
      </w:r>
      <w:proofErr w:type="spellStart"/>
      <w:r w:rsidR="00651D3D" w:rsidRPr="00B60B17">
        <w:t>Chen</w:t>
      </w:r>
      <w:proofErr w:type="spellEnd"/>
      <w:r w:rsidR="00651D3D" w:rsidRPr="00B60B17">
        <w:t xml:space="preserve"> </w:t>
      </w:r>
      <w:r w:rsidR="00651D3D" w:rsidRPr="00B60B17">
        <w:rPr>
          <w:rFonts w:eastAsiaTheme="minorEastAsia"/>
          <w:lang w:val="en-US" w:eastAsia="ja-JP"/>
        </w:rPr>
        <w:t>and</w:t>
      </w:r>
      <w:r w:rsidR="00651D3D" w:rsidRPr="00B60B17">
        <w:rPr>
          <w:rFonts w:eastAsiaTheme="minorEastAsia"/>
          <w:lang w:eastAsia="ja-JP"/>
        </w:rPr>
        <w:t xml:space="preserve"> </w:t>
      </w:r>
      <w:proofErr w:type="spellStart"/>
      <w:r w:rsidRPr="00B60B17">
        <w:t>Huo</w:t>
      </w:r>
      <w:proofErr w:type="spellEnd"/>
      <w:r w:rsidRPr="00B60B17">
        <w:t xml:space="preserve"> (2021</w:t>
      </w:r>
      <w:r w:rsidR="00651D3D" w:rsidRPr="00B60B17">
        <w:t>)</w:t>
      </w:r>
      <w:r w:rsidRPr="00B60B17">
        <w:t xml:space="preserve">: при оценивании панельной </w:t>
      </w:r>
      <w:proofErr w:type="spellStart"/>
      <w:r w:rsidRPr="00B60B17">
        <w:t>квантильной</w:t>
      </w:r>
      <w:proofErr w:type="spellEnd"/>
      <w:r w:rsidRPr="00B60B17">
        <w:t xml:space="preserve"> регрессии с не зависящими от квантиля фиксированными эффектами использ</w:t>
      </w:r>
      <w:r w:rsidR="00651D3D" w:rsidRPr="00B60B17">
        <w:t xml:space="preserve">уется подход сглаживания </w:t>
      </w:r>
      <w:proofErr w:type="spellStart"/>
      <w:r w:rsidR="00651D3D" w:rsidRPr="00B60B17">
        <w:t>Galvao</w:t>
      </w:r>
      <w:proofErr w:type="spellEnd"/>
      <w:r w:rsidR="00651D3D" w:rsidRPr="00B60B17">
        <w:t xml:space="preserve"> </w:t>
      </w:r>
      <w:r w:rsidR="00651D3D" w:rsidRPr="00B60B17">
        <w:rPr>
          <w:rFonts w:eastAsiaTheme="minorEastAsia"/>
          <w:lang w:val="en-US" w:eastAsia="ja-JP"/>
        </w:rPr>
        <w:t>and</w:t>
      </w:r>
      <w:r w:rsidRPr="00B60B17">
        <w:t xml:space="preserve"> </w:t>
      </w:r>
      <w:proofErr w:type="spellStart"/>
      <w:r w:rsidRPr="00B60B17">
        <w:t>Kato</w:t>
      </w:r>
      <w:proofErr w:type="spellEnd"/>
      <w:r w:rsidRPr="00B60B17">
        <w:t xml:space="preserve"> (2016</w:t>
      </w:r>
      <w:r w:rsidR="00651D3D" w:rsidRPr="00B60B17">
        <w:t>)</w:t>
      </w:r>
      <w:r w:rsidRPr="00B60B17">
        <w:t xml:space="preserve">, что позволяет уменьшить асимптотическое смещение в коротких </w:t>
      </w:r>
      <w:r w:rsidR="00AD3BC3" w:rsidRPr="00B60B17">
        <w:t>панелях</w:t>
      </w:r>
      <w:r w:rsidRPr="00B60B17">
        <w:t xml:space="preserve">. В </w:t>
      </w:r>
      <w:r w:rsidR="00651D3D" w:rsidRPr="00B60B17">
        <w:rPr>
          <w:lang w:val="en-US"/>
        </w:rPr>
        <w:t>c</w:t>
      </w:r>
      <w:proofErr w:type="spellStart"/>
      <w:r w:rsidRPr="00B60B17">
        <w:t>имуляционной</w:t>
      </w:r>
      <w:proofErr w:type="spellEnd"/>
      <w:r w:rsidRPr="00B60B17">
        <w:t xml:space="preserve"> части</w:t>
      </w:r>
      <w:r w:rsidR="00651D3D" w:rsidRPr="00B60B17">
        <w:t xml:space="preserve"> статьи</w:t>
      </w:r>
      <w:r w:rsidR="00AD3BC3">
        <w:t xml:space="preserve"> </w:t>
      </w:r>
      <w:r w:rsidR="00AD3BC3">
        <w:rPr>
          <w:rFonts w:eastAsiaTheme="minorEastAsia"/>
          <w:lang w:val="en-US" w:eastAsia="ja-JP"/>
        </w:rPr>
        <w:lastRenderedPageBreak/>
        <w:t>Besstremyannaya</w:t>
      </w:r>
      <w:r w:rsidR="00AD3BC3" w:rsidRPr="00AD3BC3">
        <w:rPr>
          <w:rFonts w:eastAsiaTheme="minorEastAsia"/>
          <w:lang w:eastAsia="ja-JP"/>
        </w:rPr>
        <w:t xml:space="preserve"> </w:t>
      </w:r>
      <w:r w:rsidR="00AD3BC3">
        <w:rPr>
          <w:rFonts w:eastAsiaTheme="minorEastAsia"/>
          <w:lang w:val="en-US" w:eastAsia="ja-JP"/>
        </w:rPr>
        <w:t>and</w:t>
      </w:r>
      <w:r w:rsidR="00AD3BC3" w:rsidRPr="00AD3BC3">
        <w:rPr>
          <w:rFonts w:eastAsiaTheme="minorEastAsia"/>
          <w:lang w:eastAsia="ja-JP"/>
        </w:rPr>
        <w:t xml:space="preserve"> </w:t>
      </w:r>
      <w:r w:rsidR="00AD3BC3">
        <w:rPr>
          <w:rFonts w:eastAsiaTheme="minorEastAsia"/>
          <w:lang w:val="en-US" w:eastAsia="ja-JP"/>
        </w:rPr>
        <w:t>Golovan</w:t>
      </w:r>
      <w:r w:rsidR="00AD3BC3" w:rsidRPr="00AD3BC3">
        <w:rPr>
          <w:rFonts w:eastAsiaTheme="minorEastAsia"/>
          <w:lang w:eastAsia="ja-JP"/>
        </w:rPr>
        <w:t xml:space="preserve"> (2021)</w:t>
      </w:r>
      <w:r w:rsidRPr="00B60B17">
        <w:t xml:space="preserve"> на примере различных процессов, генерирующих данные, продемонстрировано смещение оценки в модели </w:t>
      </w:r>
      <w:proofErr w:type="spellStart"/>
      <w:r w:rsidRPr="00B60B17">
        <w:t>квантильной</w:t>
      </w:r>
      <w:proofErr w:type="spellEnd"/>
      <w:r w:rsidRPr="00B60B17">
        <w:t xml:space="preserve"> регрессии с </w:t>
      </w:r>
      <w:r w:rsidR="00AD3BC3">
        <w:t xml:space="preserve">фиксированными эффектами в </w:t>
      </w:r>
      <w:r w:rsidRPr="00B60B17">
        <w:t>коротки</w:t>
      </w:r>
      <w:r w:rsidR="00AD3BC3">
        <w:t>х панелях</w:t>
      </w:r>
      <w:r w:rsidRPr="00B60B17">
        <w:t xml:space="preserve"> (</w:t>
      </w:r>
      <w:r w:rsidR="00AD3BC3">
        <w:t>для общего вида фиксированных</w:t>
      </w:r>
      <w:r w:rsidRPr="00B60B17">
        <w:t xml:space="preserve"> эффект</w:t>
      </w:r>
      <w:r w:rsidR="00AD3BC3">
        <w:t>ов</w:t>
      </w:r>
      <w:r w:rsidRPr="00B60B17">
        <w:t>, зависящи</w:t>
      </w:r>
      <w:r w:rsidR="00AD3BC3">
        <w:t>х</w:t>
      </w:r>
      <w:r w:rsidRPr="00B60B17">
        <w:t xml:space="preserve"> от квантиля).</w:t>
      </w:r>
    </w:p>
    <w:p w:rsidR="00822D20" w:rsidRPr="00B60B17" w:rsidRDefault="00822D20" w:rsidP="00B60B17">
      <w:pPr>
        <w:spacing w:line="360" w:lineRule="auto"/>
        <w:ind w:firstLine="708"/>
        <w:jc w:val="both"/>
        <w:rPr>
          <w:b/>
        </w:rPr>
      </w:pPr>
      <w:r w:rsidRPr="00B60B17">
        <w:rPr>
          <w:b/>
        </w:rPr>
        <w:t xml:space="preserve">3. Непараметрические модели </w:t>
      </w:r>
    </w:p>
    <w:p w:rsidR="0060733F" w:rsidRPr="00B60B17" w:rsidRDefault="00822D20" w:rsidP="00B60B17">
      <w:pPr>
        <w:spacing w:line="360" w:lineRule="auto"/>
        <w:ind w:firstLine="708"/>
        <w:jc w:val="both"/>
        <w:rPr>
          <w:b/>
          <w:i/>
        </w:rPr>
      </w:pPr>
      <w:r w:rsidRPr="00B60B17">
        <w:rPr>
          <w:b/>
          <w:i/>
        </w:rPr>
        <w:t>Р</w:t>
      </w:r>
      <w:r w:rsidR="0060733F" w:rsidRPr="00B60B17">
        <w:rPr>
          <w:b/>
          <w:i/>
        </w:rPr>
        <w:t>обастное оценивание непараметрической границы</w:t>
      </w:r>
    </w:p>
    <w:p w:rsidR="00615788" w:rsidRPr="00B60B17" w:rsidRDefault="00227BDF" w:rsidP="00B60B17">
      <w:pPr>
        <w:spacing w:line="360" w:lineRule="auto"/>
        <w:ind w:firstLine="708"/>
        <w:jc w:val="both"/>
      </w:pPr>
      <w:r w:rsidRPr="00B60B17">
        <w:rPr>
          <w:rFonts w:eastAsiaTheme="minorEastAsia"/>
          <w:lang w:eastAsia="ja-JP"/>
        </w:rPr>
        <w:t xml:space="preserve">В статье </w:t>
      </w:r>
      <w:r w:rsidRPr="00B60B17">
        <w:rPr>
          <w:rFonts w:eastAsiaTheme="minorEastAsia"/>
          <w:lang w:val="en-US" w:eastAsia="ja-JP"/>
        </w:rPr>
        <w:t>Besstremyannaya</w:t>
      </w:r>
      <w:r w:rsidRPr="00B60B17">
        <w:rPr>
          <w:rFonts w:eastAsiaTheme="minorEastAsia"/>
          <w:lang w:eastAsia="ja-JP"/>
        </w:rPr>
        <w:t xml:space="preserve"> (2013)</w:t>
      </w:r>
      <w:r w:rsidR="00860338" w:rsidRPr="00B60B17">
        <w:rPr>
          <w:rStyle w:val="FootnoteReference"/>
          <w:rFonts w:eastAsiaTheme="minorEastAsia"/>
          <w:lang w:eastAsia="ja-JP"/>
        </w:rPr>
        <w:footnoteReference w:id="4"/>
      </w:r>
      <w:r w:rsidRPr="00B60B17">
        <w:rPr>
          <w:rFonts w:eastAsiaTheme="minorEastAsia"/>
          <w:lang w:eastAsia="ja-JP"/>
        </w:rPr>
        <w:t xml:space="preserve"> применены </w:t>
      </w:r>
      <w:r w:rsidR="00A769AB" w:rsidRPr="00B60B17">
        <w:t xml:space="preserve">параметрические и непараметрические модели </w:t>
      </w:r>
      <w:r w:rsidR="00AD3BC3">
        <w:t xml:space="preserve">анализа </w:t>
      </w:r>
      <w:r w:rsidR="00A769AB" w:rsidRPr="00B60B17">
        <w:t xml:space="preserve">производственной </w:t>
      </w:r>
      <w:r w:rsidRPr="00B60B17">
        <w:t xml:space="preserve">и ценовой </w:t>
      </w:r>
      <w:r w:rsidR="00A769AB" w:rsidRPr="00B60B17">
        <w:t>эффективности</w:t>
      </w:r>
      <w:r w:rsidRPr="00B60B17">
        <w:t xml:space="preserve"> муниципальных предприятий (стационаров Японии)</w:t>
      </w:r>
      <w:r w:rsidR="00A769AB" w:rsidRPr="00B60B17">
        <w:t xml:space="preserve">, а также </w:t>
      </w:r>
      <w:r w:rsidR="00AD3BC3">
        <w:t xml:space="preserve">оценен </w:t>
      </w:r>
      <w:r w:rsidR="00A769AB" w:rsidRPr="00B60B17">
        <w:t>эффект воздействия реформы финансирования</w:t>
      </w:r>
      <w:r w:rsidRPr="00B60B17">
        <w:t xml:space="preserve"> на эффективность этих </w:t>
      </w:r>
      <w:r w:rsidR="00A769AB" w:rsidRPr="00B60B17">
        <w:t xml:space="preserve"> стационаров. </w:t>
      </w:r>
    </w:p>
    <w:p w:rsidR="00AD3BC3" w:rsidRPr="00AD3BC3" w:rsidRDefault="00A769AB" w:rsidP="00B60B17">
      <w:pPr>
        <w:spacing w:line="360" w:lineRule="auto"/>
        <w:ind w:firstLine="709"/>
        <w:jc w:val="both"/>
      </w:pPr>
      <w:r w:rsidRPr="00B60B17">
        <w:t xml:space="preserve">Вначале рассказано о </w:t>
      </w:r>
      <w:proofErr w:type="spellStart"/>
      <w:r w:rsidR="00227BDF" w:rsidRPr="00B60B17">
        <w:t>ценоообразовании</w:t>
      </w:r>
      <w:proofErr w:type="spellEnd"/>
      <w:r w:rsidR="00227BDF" w:rsidRPr="00B60B17">
        <w:t xml:space="preserve">, связанном с применением </w:t>
      </w:r>
      <w:proofErr w:type="gramStart"/>
      <w:r w:rsidR="00227BDF" w:rsidRPr="00B60B17">
        <w:t xml:space="preserve">модели </w:t>
      </w:r>
      <w:r w:rsidR="00651D3D" w:rsidRPr="00B60B17">
        <w:t xml:space="preserve"> </w:t>
      </w:r>
      <w:r w:rsidR="00227BDF" w:rsidRPr="00B60B17">
        <w:rPr>
          <w:rFonts w:eastAsiaTheme="minorEastAsia"/>
          <w:lang w:val="en-US" w:eastAsia="ja-JP"/>
        </w:rPr>
        <w:t>yardstick</w:t>
      </w:r>
      <w:proofErr w:type="gramEnd"/>
      <w:r w:rsidR="00227BDF" w:rsidRPr="00B60B17">
        <w:rPr>
          <w:rFonts w:eastAsiaTheme="minorEastAsia"/>
          <w:lang w:eastAsia="ja-JP"/>
        </w:rPr>
        <w:t xml:space="preserve"> </w:t>
      </w:r>
      <w:r w:rsidR="00227BDF" w:rsidRPr="00B60B17">
        <w:rPr>
          <w:rFonts w:eastAsiaTheme="minorEastAsia"/>
          <w:lang w:val="en-US" w:eastAsia="ja-JP"/>
        </w:rPr>
        <w:t>competition</w:t>
      </w:r>
      <w:r w:rsidR="00227BDF" w:rsidRPr="00B60B17">
        <w:rPr>
          <w:rFonts w:eastAsiaTheme="minorEastAsia"/>
          <w:lang w:eastAsia="ja-JP"/>
        </w:rPr>
        <w:t xml:space="preserve"> </w:t>
      </w:r>
      <w:r w:rsidR="00651D3D" w:rsidRPr="00B60B17">
        <w:rPr>
          <w:rFonts w:eastAsiaTheme="minorEastAsia"/>
          <w:lang w:eastAsia="ja-JP"/>
        </w:rPr>
        <w:t>(</w:t>
      </w:r>
      <w:proofErr w:type="spellStart"/>
      <w:r w:rsidR="00651D3D" w:rsidRPr="00B60B17">
        <w:rPr>
          <w:rFonts w:eastAsiaTheme="minorEastAsia"/>
          <w:lang w:eastAsia="ja-JP"/>
        </w:rPr>
        <w:t>Laffont</w:t>
      </w:r>
      <w:proofErr w:type="spellEnd"/>
      <w:r w:rsidR="00651D3D" w:rsidRPr="00B60B17">
        <w:rPr>
          <w:rFonts w:eastAsiaTheme="minorEastAsia"/>
          <w:lang w:eastAsia="ja-JP"/>
        </w:rPr>
        <w:t xml:space="preserve"> </w:t>
      </w:r>
      <w:proofErr w:type="spellStart"/>
      <w:r w:rsidR="00651D3D" w:rsidRPr="00B60B17">
        <w:rPr>
          <w:rFonts w:eastAsiaTheme="minorEastAsia"/>
          <w:lang w:eastAsia="ja-JP"/>
        </w:rPr>
        <w:t>and</w:t>
      </w:r>
      <w:proofErr w:type="spellEnd"/>
      <w:r w:rsidR="00651D3D" w:rsidRPr="00B60B17">
        <w:rPr>
          <w:rFonts w:eastAsiaTheme="minorEastAsia"/>
          <w:lang w:eastAsia="ja-JP"/>
        </w:rPr>
        <w:t xml:space="preserve"> </w:t>
      </w:r>
      <w:proofErr w:type="spellStart"/>
      <w:r w:rsidR="00651D3D" w:rsidRPr="00B60B17">
        <w:rPr>
          <w:rFonts w:eastAsiaTheme="minorEastAsia"/>
          <w:lang w:eastAsia="ja-JP"/>
        </w:rPr>
        <w:t>Tirole</w:t>
      </w:r>
      <w:proofErr w:type="spellEnd"/>
      <w:r w:rsidR="00651D3D" w:rsidRPr="00B60B17">
        <w:rPr>
          <w:rFonts w:eastAsiaTheme="minorEastAsia"/>
          <w:lang w:eastAsia="ja-JP"/>
        </w:rPr>
        <w:t xml:space="preserve">, 1993; </w:t>
      </w:r>
      <w:proofErr w:type="spellStart"/>
      <w:r w:rsidR="00651D3D" w:rsidRPr="00B60B17">
        <w:rPr>
          <w:rFonts w:eastAsiaTheme="minorEastAsia" w:hint="eastAsia"/>
          <w:lang w:eastAsia="ja-JP"/>
        </w:rPr>
        <w:t>S</w:t>
      </w:r>
      <w:r w:rsidR="00651D3D" w:rsidRPr="00B60B17">
        <w:rPr>
          <w:rFonts w:eastAsiaTheme="minorEastAsia"/>
          <w:lang w:eastAsia="ja-JP"/>
        </w:rPr>
        <w:t>hleifer</w:t>
      </w:r>
      <w:proofErr w:type="spellEnd"/>
      <w:r w:rsidR="00651D3D" w:rsidRPr="00B60B17">
        <w:rPr>
          <w:rFonts w:eastAsiaTheme="minorEastAsia"/>
          <w:lang w:eastAsia="ja-JP"/>
        </w:rPr>
        <w:t xml:space="preserve">, 1985) </w:t>
      </w:r>
      <w:r w:rsidR="00227BDF" w:rsidRPr="00B60B17">
        <w:rPr>
          <w:rFonts w:eastAsiaTheme="minorEastAsia"/>
          <w:lang w:eastAsia="ja-JP"/>
        </w:rPr>
        <w:t>при взаимоотношения</w:t>
      </w:r>
      <w:r w:rsidR="00651D3D" w:rsidRPr="00B60B17">
        <w:rPr>
          <w:rFonts w:eastAsiaTheme="minorEastAsia"/>
          <w:lang w:eastAsia="ja-JP"/>
        </w:rPr>
        <w:t>х</w:t>
      </w:r>
      <w:r w:rsidR="00227BDF" w:rsidRPr="00B60B17">
        <w:rPr>
          <w:rFonts w:eastAsiaTheme="minorEastAsia"/>
          <w:lang w:eastAsia="ja-JP"/>
        </w:rPr>
        <w:t xml:space="preserve"> агент-принципал. В экономике здравоохранения это касается перехода от </w:t>
      </w:r>
      <w:r w:rsidRPr="00B60B17">
        <w:t>систем</w:t>
      </w:r>
      <w:r w:rsidR="00227BDF" w:rsidRPr="00B60B17">
        <w:t>ы</w:t>
      </w:r>
      <w:r w:rsidRPr="00B60B17">
        <w:t xml:space="preserve"> </w:t>
      </w:r>
      <w:proofErr w:type="spellStart"/>
      <w:r w:rsidRPr="00B60B17">
        <w:t>подушевого</w:t>
      </w:r>
      <w:proofErr w:type="spellEnd"/>
      <w:r w:rsidRPr="00B60B17">
        <w:t xml:space="preserve"> финансирования и </w:t>
      </w:r>
      <w:r w:rsidR="00227BDF" w:rsidRPr="00B60B17">
        <w:t xml:space="preserve">к </w:t>
      </w:r>
      <w:r w:rsidRPr="00B60B17">
        <w:t>финансировани</w:t>
      </w:r>
      <w:r w:rsidR="00227BDF" w:rsidRPr="00B60B17">
        <w:t>ю</w:t>
      </w:r>
      <w:r w:rsidRPr="00B60B17">
        <w:t xml:space="preserve"> согласно клинико-статистическим группам, описывающим набор родственных диагнозов и используемых процедур. Затем </w:t>
      </w:r>
      <w:r w:rsidR="00AD3BC3">
        <w:t>предложена</w:t>
      </w:r>
      <w:r w:rsidRPr="00B60B17">
        <w:t xml:space="preserve"> формулировка непараметрической и параметрической моделей в рамках анализа границы. В случае непараметрической модели</w:t>
      </w:r>
      <w:r w:rsidR="00B11F52" w:rsidRPr="00B60B17">
        <w:t xml:space="preserve"> </w:t>
      </w:r>
      <w:r w:rsidR="00B11F52" w:rsidRPr="00B60B17">
        <w:rPr>
          <w:rFonts w:eastAsiaTheme="minorEastAsia"/>
          <w:lang w:eastAsia="ja-JP"/>
        </w:rPr>
        <w:t>(</w:t>
      </w:r>
      <w:r w:rsidR="00AD3BC3">
        <w:rPr>
          <w:rFonts w:eastAsiaTheme="minorEastAsia"/>
          <w:lang w:val="en-US" w:eastAsia="ja-JP"/>
        </w:rPr>
        <w:t>d</w:t>
      </w:r>
      <w:r w:rsidR="00B11F52" w:rsidRPr="00B60B17">
        <w:rPr>
          <w:rFonts w:eastAsiaTheme="minorEastAsia"/>
          <w:lang w:val="en-US" w:eastAsia="ja-JP"/>
        </w:rPr>
        <w:t>ata</w:t>
      </w:r>
      <w:r w:rsidR="00B11F52" w:rsidRPr="00B60B17">
        <w:rPr>
          <w:rFonts w:eastAsiaTheme="minorEastAsia"/>
          <w:lang w:eastAsia="ja-JP"/>
        </w:rPr>
        <w:t xml:space="preserve"> </w:t>
      </w:r>
      <w:r w:rsidR="00B11F52" w:rsidRPr="00B60B17">
        <w:rPr>
          <w:rFonts w:eastAsiaTheme="minorEastAsia"/>
          <w:lang w:val="en-US" w:eastAsia="ja-JP"/>
        </w:rPr>
        <w:t>envelopment</w:t>
      </w:r>
      <w:r w:rsidR="00B11F52" w:rsidRPr="00B60B17">
        <w:rPr>
          <w:rFonts w:eastAsiaTheme="minorEastAsia"/>
          <w:lang w:eastAsia="ja-JP"/>
        </w:rPr>
        <w:t xml:space="preserve"> </w:t>
      </w:r>
      <w:r w:rsidR="00B11F52" w:rsidRPr="00B60B17">
        <w:rPr>
          <w:rFonts w:eastAsiaTheme="minorEastAsia"/>
          <w:lang w:val="en-US" w:eastAsia="ja-JP"/>
        </w:rPr>
        <w:t>analysis</w:t>
      </w:r>
      <w:r w:rsidR="00B11F52" w:rsidRPr="00B60B17">
        <w:rPr>
          <w:rFonts w:eastAsiaTheme="minorEastAsia"/>
          <w:lang w:eastAsia="ja-JP"/>
        </w:rPr>
        <w:t xml:space="preserve">, </w:t>
      </w:r>
      <w:r w:rsidR="00B11F52" w:rsidRPr="00B60B17">
        <w:rPr>
          <w:rFonts w:eastAsiaTheme="minorEastAsia"/>
          <w:lang w:val="en-US" w:eastAsia="ja-JP"/>
        </w:rPr>
        <w:t>output</w:t>
      </w:r>
      <w:r w:rsidR="00B11F52" w:rsidRPr="00B60B17">
        <w:rPr>
          <w:rFonts w:eastAsiaTheme="minorEastAsia"/>
          <w:lang w:eastAsia="ja-JP"/>
        </w:rPr>
        <w:t>-</w:t>
      </w:r>
      <w:r w:rsidR="00B11F52" w:rsidRPr="00B60B17">
        <w:rPr>
          <w:rFonts w:eastAsiaTheme="minorEastAsia"/>
          <w:lang w:val="en-US" w:eastAsia="ja-JP"/>
        </w:rPr>
        <w:t>oriented</w:t>
      </w:r>
      <w:r w:rsidR="00B11F52" w:rsidRPr="00B60B17">
        <w:rPr>
          <w:rFonts w:eastAsiaTheme="minorEastAsia"/>
          <w:lang w:eastAsia="ja-JP"/>
        </w:rPr>
        <w:t xml:space="preserve"> </w:t>
      </w:r>
      <w:r w:rsidR="00B11F52" w:rsidRPr="00B60B17">
        <w:rPr>
          <w:rFonts w:eastAsiaTheme="minorEastAsia"/>
          <w:lang w:val="en-US" w:eastAsia="ja-JP"/>
        </w:rPr>
        <w:t>model</w:t>
      </w:r>
      <w:r w:rsidR="00B11F52" w:rsidRPr="00B60B17">
        <w:rPr>
          <w:rFonts w:eastAsiaTheme="minorEastAsia"/>
          <w:lang w:eastAsia="ja-JP"/>
        </w:rPr>
        <w:t>)</w:t>
      </w:r>
      <w:r w:rsidRPr="00B60B17">
        <w:t xml:space="preserve"> осуществлена корректировка смещения с помощью </w:t>
      </w:r>
      <w:proofErr w:type="spellStart"/>
      <w:r w:rsidRPr="00B60B17">
        <w:t>бутстрапа</w:t>
      </w:r>
      <w:proofErr w:type="spellEnd"/>
      <w:r w:rsidRPr="00B60B17">
        <w:t xml:space="preserve"> для формулировки с соответствующей отдачей от масштаба (оцененной в ходе формального теста). </w:t>
      </w:r>
      <w:r w:rsidR="00086AE9" w:rsidRPr="00B60B17">
        <w:t xml:space="preserve">Параметрическая модель </w:t>
      </w:r>
      <w:r w:rsidR="00B11F52" w:rsidRPr="00B60B17">
        <w:t>(</w:t>
      </w:r>
      <w:r w:rsidR="00B11F52" w:rsidRPr="00B60B17">
        <w:rPr>
          <w:lang w:val="en-US"/>
        </w:rPr>
        <w:t>stochastic</w:t>
      </w:r>
      <w:r w:rsidR="00B11F52" w:rsidRPr="00B60B17">
        <w:t xml:space="preserve"> </w:t>
      </w:r>
      <w:r w:rsidR="00B11F52" w:rsidRPr="00B60B17">
        <w:rPr>
          <w:lang w:val="en-US"/>
        </w:rPr>
        <w:t>frontier</w:t>
      </w:r>
      <w:r w:rsidR="00B11F52" w:rsidRPr="00B60B17">
        <w:t xml:space="preserve"> </w:t>
      </w:r>
      <w:r w:rsidR="00B11F52" w:rsidRPr="00B60B17">
        <w:rPr>
          <w:lang w:val="en-US"/>
        </w:rPr>
        <w:t>analysis</w:t>
      </w:r>
      <w:r w:rsidR="00B11F52" w:rsidRPr="00B60B17">
        <w:t xml:space="preserve">) </w:t>
      </w:r>
      <w:r w:rsidR="00086AE9" w:rsidRPr="00B60B17">
        <w:t>применена к ориентированной на выпуск функции расстояния</w:t>
      </w:r>
      <w:r w:rsidR="00B11F52" w:rsidRPr="00B60B17">
        <w:t xml:space="preserve"> (</w:t>
      </w:r>
      <w:r w:rsidR="00B11F52" w:rsidRPr="00B60B17">
        <w:rPr>
          <w:lang w:val="en-US"/>
        </w:rPr>
        <w:t>output</w:t>
      </w:r>
      <w:r w:rsidR="00B11F52" w:rsidRPr="00B60B17">
        <w:t xml:space="preserve"> </w:t>
      </w:r>
      <w:r w:rsidR="00206CA6">
        <w:rPr>
          <w:lang w:val="en-US"/>
        </w:rPr>
        <w:t>distance</w:t>
      </w:r>
      <w:r w:rsidR="00206CA6" w:rsidRPr="00206CA6">
        <w:t xml:space="preserve"> </w:t>
      </w:r>
      <w:r w:rsidR="00B11F52" w:rsidRPr="00B60B17">
        <w:rPr>
          <w:lang w:val="en-US"/>
        </w:rPr>
        <w:t>function</w:t>
      </w:r>
      <w:r w:rsidR="00B11F52" w:rsidRPr="00B60B17">
        <w:t>)</w:t>
      </w:r>
      <w:r w:rsidR="00086AE9" w:rsidRPr="00B60B17">
        <w:t xml:space="preserve">. </w:t>
      </w:r>
      <w:r w:rsidR="00AD3BC3">
        <w:t>В статье предложена аргументация применения именно модели, ориентированной на выпуск, как наиболее соответствующей специфике функционирования японских муниципальных предприятий.</w:t>
      </w:r>
    </w:p>
    <w:p w:rsidR="00875648" w:rsidRPr="00B60B17" w:rsidRDefault="00AD3BC3" w:rsidP="00B60B17">
      <w:pPr>
        <w:spacing w:line="360" w:lineRule="auto"/>
        <w:ind w:firstLine="709"/>
        <w:jc w:val="both"/>
      </w:pPr>
      <w:r>
        <w:t>И</w:t>
      </w:r>
      <w:r w:rsidR="00086AE9" w:rsidRPr="00B60B17">
        <w:t xml:space="preserve"> для непараметрического, и для параметрического случая рассматрива</w:t>
      </w:r>
      <w:r w:rsidR="00B24ADF" w:rsidRPr="00B60B17">
        <w:t>ю</w:t>
      </w:r>
      <w:r w:rsidR="00086AE9" w:rsidRPr="00B60B17">
        <w:t xml:space="preserve">тся восемь спецификаций </w:t>
      </w:r>
      <w:proofErr w:type="spellStart"/>
      <w:r w:rsidR="00086AE9" w:rsidRPr="00B60B17">
        <w:t>многопродуктовой</w:t>
      </w:r>
      <w:proofErr w:type="spellEnd"/>
      <w:r w:rsidR="00086AE9" w:rsidRPr="00B60B17">
        <w:t xml:space="preserve"> модели</w:t>
      </w:r>
      <w:r>
        <w:t xml:space="preserve"> стационара</w:t>
      </w:r>
      <w:r w:rsidR="00086AE9" w:rsidRPr="00B60B17">
        <w:t xml:space="preserve">, с разными наборами выпуска и факторов производства. В моделях присутствуют и экзогенные переменные, учитываемые в рамках </w:t>
      </w:r>
      <w:proofErr w:type="spellStart"/>
      <w:r w:rsidR="00086AE9" w:rsidRPr="00B60B17">
        <w:t>двухшаговой</w:t>
      </w:r>
      <w:proofErr w:type="spellEnd"/>
      <w:r w:rsidR="00086AE9" w:rsidRPr="00B60B17">
        <w:t xml:space="preserve"> процедуры.  Далее выделяются группа стационаров, подверженных реформе и контрольная группа, в каждой из которых изучается динамика прогнозных значений эффективности, а также краткосрочный и среднесрочный условный и безусловный эффекты воздействия </w:t>
      </w:r>
      <w:r w:rsidR="00086AE9" w:rsidRPr="00B60B17">
        <w:rPr>
          <w:rFonts w:eastAsiaTheme="minorEastAsia"/>
          <w:lang w:eastAsia="ja-JP"/>
        </w:rPr>
        <w:t>с помощью метода «разность разностей»</w:t>
      </w:r>
      <w:r w:rsidR="00086AE9" w:rsidRPr="00B60B17">
        <w:t>.</w:t>
      </w:r>
      <w:r w:rsidR="00A769AB" w:rsidRPr="00B60B17">
        <w:t xml:space="preserve"> Модель оценивается для данных более 400 японских стационаров</w:t>
      </w:r>
      <w:r>
        <w:t xml:space="preserve"> неотложной помощи</w:t>
      </w:r>
      <w:r w:rsidR="00A769AB" w:rsidRPr="00B60B17">
        <w:t xml:space="preserve"> в 1999-2009 годы.</w:t>
      </w:r>
      <w:r w:rsidR="00086AE9" w:rsidRPr="00B60B17">
        <w:t xml:space="preserve"> </w:t>
      </w:r>
    </w:p>
    <w:p w:rsidR="00A35FFA" w:rsidRPr="00B60B17" w:rsidRDefault="00CD2F78" w:rsidP="00B60B17">
      <w:pPr>
        <w:spacing w:line="360" w:lineRule="auto"/>
        <w:ind w:firstLine="709"/>
        <w:jc w:val="both"/>
        <w:rPr>
          <w:rFonts w:eastAsiaTheme="minorEastAsia"/>
          <w:lang w:eastAsia="ja-JP"/>
        </w:rPr>
      </w:pPr>
      <w:r w:rsidRPr="00B60B17">
        <w:rPr>
          <w:color w:val="000000"/>
        </w:rPr>
        <w:lastRenderedPageBreak/>
        <w:t>В</w:t>
      </w:r>
      <w:r w:rsidR="00AD3BC3">
        <w:rPr>
          <w:color w:val="000000"/>
        </w:rPr>
        <w:t xml:space="preserve"> теоретической</w:t>
      </w:r>
      <w:r w:rsidRPr="00B60B17">
        <w:rPr>
          <w:color w:val="000000"/>
        </w:rPr>
        <w:t xml:space="preserve"> работе </w:t>
      </w:r>
      <w:r w:rsidR="00BD3944" w:rsidRPr="00B60B17">
        <w:rPr>
          <w:rFonts w:eastAsiaTheme="minorEastAsia"/>
          <w:lang w:val="en-US" w:eastAsia="ja-JP"/>
        </w:rPr>
        <w:t>Besstremyannaya</w:t>
      </w:r>
      <w:r w:rsidR="00BD3944" w:rsidRPr="00B60B17">
        <w:rPr>
          <w:rFonts w:eastAsiaTheme="minorEastAsia"/>
          <w:lang w:eastAsia="ja-JP"/>
        </w:rPr>
        <w:t xml:space="preserve"> </w:t>
      </w:r>
      <w:r w:rsidR="00BD3944" w:rsidRPr="00B60B17">
        <w:rPr>
          <w:rFonts w:eastAsiaTheme="minorEastAsia"/>
          <w:lang w:val="en-US" w:eastAsia="ja-JP"/>
        </w:rPr>
        <w:t>and</w:t>
      </w:r>
      <w:r w:rsidR="00BD3944" w:rsidRPr="00B60B17">
        <w:rPr>
          <w:rFonts w:eastAsiaTheme="minorEastAsia"/>
          <w:lang w:eastAsia="ja-JP"/>
        </w:rPr>
        <w:t xml:space="preserve"> </w:t>
      </w:r>
      <w:proofErr w:type="spellStart"/>
      <w:r w:rsidR="00BD3944" w:rsidRPr="00B60B17">
        <w:rPr>
          <w:rFonts w:eastAsiaTheme="minorEastAsia"/>
          <w:lang w:val="en-US" w:eastAsia="ja-JP"/>
        </w:rPr>
        <w:t>Simm</w:t>
      </w:r>
      <w:proofErr w:type="spellEnd"/>
      <w:r w:rsidR="00BD3944" w:rsidRPr="00B60B17">
        <w:rPr>
          <w:rFonts w:eastAsiaTheme="minorEastAsia"/>
          <w:lang w:eastAsia="ja-JP"/>
        </w:rPr>
        <w:t xml:space="preserve"> (2019) </w:t>
      </w:r>
      <w:r w:rsidRPr="00B60B17">
        <w:rPr>
          <w:color w:val="000000"/>
        </w:rPr>
        <w:t>предлагается методология для несмещенной оценки ценовой эффективности в непараметрических моделях производственный границы (</w:t>
      </w:r>
      <w:r w:rsidRPr="00B60B17">
        <w:rPr>
          <w:color w:val="000000"/>
          <w:lang w:val="en-US"/>
        </w:rPr>
        <w:t>data</w:t>
      </w:r>
      <w:r w:rsidRPr="00B60B17">
        <w:rPr>
          <w:color w:val="000000"/>
        </w:rPr>
        <w:t xml:space="preserve"> </w:t>
      </w:r>
      <w:r w:rsidRPr="00B60B17">
        <w:rPr>
          <w:color w:val="000000"/>
          <w:lang w:val="en-US"/>
        </w:rPr>
        <w:t>envelopment</w:t>
      </w:r>
      <w:r w:rsidRPr="00B60B17">
        <w:rPr>
          <w:color w:val="000000"/>
        </w:rPr>
        <w:t xml:space="preserve"> </w:t>
      </w:r>
      <w:r w:rsidRPr="00B60B17">
        <w:rPr>
          <w:color w:val="000000"/>
          <w:lang w:val="en-US"/>
        </w:rPr>
        <w:t>analysis</w:t>
      </w:r>
      <w:r w:rsidRPr="00B60B17">
        <w:rPr>
          <w:color w:val="000000"/>
        </w:rPr>
        <w:t xml:space="preserve">). </w:t>
      </w:r>
      <w:r w:rsidR="003A3D3F" w:rsidRPr="00B60B17">
        <w:rPr>
          <w:color w:val="000000"/>
        </w:rPr>
        <w:t xml:space="preserve">В рамках </w:t>
      </w:r>
      <w:r w:rsidR="00CD63FC" w:rsidRPr="00B60B17">
        <w:rPr>
          <w:color w:val="000000"/>
        </w:rPr>
        <w:t>традиционного подхода к ценовой эффективности (</w:t>
      </w:r>
      <w:r w:rsidR="00822D20" w:rsidRPr="00B60B17">
        <w:rPr>
          <w:rFonts w:eastAsiaTheme="minorEastAsia"/>
          <w:lang w:val="en-US" w:eastAsia="ja-JP"/>
        </w:rPr>
        <w:t>Fare</w:t>
      </w:r>
      <w:r w:rsidR="00822D20" w:rsidRPr="00B60B17">
        <w:rPr>
          <w:rFonts w:eastAsiaTheme="minorEastAsia"/>
          <w:lang w:eastAsia="ja-JP"/>
        </w:rPr>
        <w:t xml:space="preserve">, </w:t>
      </w:r>
      <w:proofErr w:type="spellStart"/>
      <w:r w:rsidR="00822D20" w:rsidRPr="00B60B17">
        <w:rPr>
          <w:rFonts w:eastAsiaTheme="minorEastAsia"/>
          <w:lang w:val="en-US" w:eastAsia="ja-JP"/>
        </w:rPr>
        <w:t>Grosskopf</w:t>
      </w:r>
      <w:proofErr w:type="spellEnd"/>
      <w:r w:rsidR="00822D20" w:rsidRPr="00B60B17">
        <w:rPr>
          <w:rFonts w:eastAsiaTheme="minorEastAsia"/>
          <w:lang w:eastAsia="ja-JP"/>
        </w:rPr>
        <w:t xml:space="preserve"> </w:t>
      </w:r>
      <w:r w:rsidR="00822D20" w:rsidRPr="00B60B17">
        <w:rPr>
          <w:rFonts w:eastAsiaTheme="minorEastAsia"/>
          <w:lang w:val="en-US" w:eastAsia="ja-JP"/>
        </w:rPr>
        <w:t>and</w:t>
      </w:r>
      <w:r w:rsidR="00822D20" w:rsidRPr="00B60B17">
        <w:rPr>
          <w:rFonts w:eastAsiaTheme="minorEastAsia"/>
          <w:lang w:eastAsia="ja-JP"/>
        </w:rPr>
        <w:t xml:space="preserve"> </w:t>
      </w:r>
      <w:r w:rsidR="00822D20" w:rsidRPr="00B60B17">
        <w:rPr>
          <w:rFonts w:eastAsiaTheme="minorEastAsia"/>
          <w:lang w:val="en-US" w:eastAsia="ja-JP"/>
        </w:rPr>
        <w:t>Lovell</w:t>
      </w:r>
      <w:r w:rsidR="00CD63FC" w:rsidRPr="00B60B17">
        <w:rPr>
          <w:rFonts w:eastAsiaTheme="minorEastAsia"/>
          <w:lang w:eastAsia="ja-JP"/>
        </w:rPr>
        <w:t>, 19</w:t>
      </w:r>
      <w:r w:rsidR="00A35FFA" w:rsidRPr="00B60B17">
        <w:rPr>
          <w:rFonts w:eastAsiaTheme="minorEastAsia"/>
          <w:lang w:eastAsia="ja-JP"/>
        </w:rPr>
        <w:t>94</w:t>
      </w:r>
      <w:r w:rsidR="00CD63FC" w:rsidRPr="00B60B17">
        <w:rPr>
          <w:rFonts w:eastAsiaTheme="minorEastAsia"/>
          <w:lang w:eastAsia="ja-JP"/>
        </w:rPr>
        <w:t xml:space="preserve">) предлагается использовать </w:t>
      </w:r>
      <w:proofErr w:type="spellStart"/>
      <w:r w:rsidR="00A35FFA" w:rsidRPr="00B60B17">
        <w:rPr>
          <w:rFonts w:eastAsiaTheme="minorEastAsia"/>
          <w:lang w:eastAsia="ja-JP"/>
        </w:rPr>
        <w:t>бутстрап</w:t>
      </w:r>
      <w:proofErr w:type="spellEnd"/>
      <w:r w:rsidR="00A35FFA" w:rsidRPr="00B60B17">
        <w:rPr>
          <w:rFonts w:eastAsiaTheme="minorEastAsia"/>
          <w:lang w:eastAsia="ja-JP"/>
        </w:rPr>
        <w:t xml:space="preserve"> с повторными выборками из «наивных» оценок технической эффективности (в модели, ориентированной на выпуск, </w:t>
      </w:r>
      <w:r w:rsidR="00822D20" w:rsidRPr="00B60B17">
        <w:rPr>
          <w:rFonts w:eastAsiaTheme="minorEastAsia"/>
          <w:lang w:val="en-US" w:eastAsia="ja-JP"/>
        </w:rPr>
        <w:t>input</w:t>
      </w:r>
      <w:r w:rsidR="00822D20" w:rsidRPr="00B60B17">
        <w:rPr>
          <w:rFonts w:eastAsiaTheme="minorEastAsia"/>
          <w:lang w:eastAsia="ja-JP"/>
        </w:rPr>
        <w:t>-</w:t>
      </w:r>
      <w:r w:rsidR="00822D20" w:rsidRPr="00B60B17">
        <w:rPr>
          <w:rFonts w:eastAsiaTheme="minorEastAsia"/>
          <w:lang w:val="en-US" w:eastAsia="ja-JP"/>
        </w:rPr>
        <w:t>oriented</w:t>
      </w:r>
      <w:r w:rsidR="00822D20" w:rsidRPr="00B60B17">
        <w:rPr>
          <w:rFonts w:eastAsiaTheme="minorEastAsia"/>
          <w:lang w:eastAsia="ja-JP"/>
        </w:rPr>
        <w:t xml:space="preserve"> </w:t>
      </w:r>
      <w:r w:rsidR="00822D20" w:rsidRPr="00B60B17">
        <w:rPr>
          <w:rFonts w:eastAsiaTheme="minorEastAsia"/>
          <w:lang w:val="en-US" w:eastAsia="ja-JP"/>
        </w:rPr>
        <w:t>efficiency</w:t>
      </w:r>
      <w:r w:rsidR="00822D20" w:rsidRPr="00B60B17">
        <w:rPr>
          <w:rFonts w:eastAsiaTheme="minorEastAsia"/>
          <w:lang w:eastAsia="ja-JP"/>
        </w:rPr>
        <w:t xml:space="preserve"> </w:t>
      </w:r>
      <w:r w:rsidR="00822D20" w:rsidRPr="00B60B17">
        <w:rPr>
          <w:rFonts w:eastAsiaTheme="minorEastAsia"/>
          <w:lang w:val="en-US" w:eastAsia="ja-JP"/>
        </w:rPr>
        <w:t>scores</w:t>
      </w:r>
      <w:r w:rsidR="00A35FFA" w:rsidRPr="00B60B17">
        <w:rPr>
          <w:rFonts w:eastAsiaTheme="minorEastAsia"/>
          <w:lang w:eastAsia="ja-JP"/>
        </w:rPr>
        <w:t xml:space="preserve">): эти оценки взвешиваются (масштабируются) исходными факторами, что выводит исходные факторы на производственную границу. Затем, происходит оценивание ценовой </w:t>
      </w:r>
      <w:r w:rsidR="0023491C" w:rsidRPr="00B60B17">
        <w:rPr>
          <w:rFonts w:eastAsiaTheme="minorEastAsia"/>
          <w:lang w:eastAsia="ja-JP"/>
        </w:rPr>
        <w:t>эффективности для</w:t>
      </w:r>
      <w:r w:rsidR="00A35FFA" w:rsidRPr="00B60B17">
        <w:rPr>
          <w:rFonts w:eastAsiaTheme="minorEastAsia"/>
          <w:lang w:eastAsia="ja-JP"/>
        </w:rPr>
        <w:t xml:space="preserve"> масштабированных факторов производства (</w:t>
      </w:r>
      <w:r w:rsidR="00822D20" w:rsidRPr="00B60B17">
        <w:rPr>
          <w:rFonts w:eastAsiaTheme="minorEastAsia"/>
          <w:lang w:val="en-US" w:eastAsia="ja-JP"/>
        </w:rPr>
        <w:t>rescale</w:t>
      </w:r>
      <w:r w:rsidR="00A35FFA" w:rsidRPr="00B60B17">
        <w:rPr>
          <w:rFonts w:eastAsiaTheme="minorEastAsia"/>
          <w:lang w:val="en-US" w:eastAsia="ja-JP"/>
        </w:rPr>
        <w:t>d</w:t>
      </w:r>
      <w:r w:rsidR="00A35FFA" w:rsidRPr="00B60B17">
        <w:rPr>
          <w:rFonts w:eastAsiaTheme="minorEastAsia"/>
          <w:lang w:eastAsia="ja-JP"/>
        </w:rPr>
        <w:t xml:space="preserve"> </w:t>
      </w:r>
      <w:proofErr w:type="spellStart"/>
      <w:r w:rsidR="00A35FFA" w:rsidRPr="00B60B17">
        <w:rPr>
          <w:rFonts w:eastAsiaTheme="minorEastAsia"/>
          <w:lang w:eastAsia="ja-JP"/>
        </w:rPr>
        <w:t>inputs</w:t>
      </w:r>
      <w:proofErr w:type="spellEnd"/>
      <w:r w:rsidR="00A35FFA" w:rsidRPr="00B60B17">
        <w:rPr>
          <w:rFonts w:eastAsiaTheme="minorEastAsia"/>
          <w:lang w:eastAsia="ja-JP"/>
        </w:rPr>
        <w:t xml:space="preserve">). Подобная процедура предлагается как для случая только с выпусками и факторами производства, так и для случая с дополнительными контролями (так называемыми «переменными среды», </w:t>
      </w:r>
      <w:proofErr w:type="spellStart"/>
      <w:r w:rsidR="00A35FFA" w:rsidRPr="00B60B17">
        <w:rPr>
          <w:rFonts w:eastAsiaTheme="minorEastAsia"/>
          <w:lang w:eastAsia="ja-JP"/>
        </w:rPr>
        <w:t>environmental</w:t>
      </w:r>
      <w:proofErr w:type="spellEnd"/>
      <w:r w:rsidR="00A35FFA" w:rsidRPr="00B60B17">
        <w:rPr>
          <w:rFonts w:eastAsiaTheme="minorEastAsia"/>
          <w:lang w:eastAsia="ja-JP"/>
        </w:rPr>
        <w:t xml:space="preserve"> </w:t>
      </w:r>
      <w:proofErr w:type="spellStart"/>
      <w:r w:rsidR="00A35FFA" w:rsidRPr="00B60B17">
        <w:rPr>
          <w:rFonts w:eastAsiaTheme="minorEastAsia"/>
          <w:lang w:eastAsia="ja-JP"/>
        </w:rPr>
        <w:t>variables</w:t>
      </w:r>
      <w:proofErr w:type="spellEnd"/>
      <w:r w:rsidR="00A35FFA" w:rsidRPr="00B60B17">
        <w:rPr>
          <w:rFonts w:eastAsiaTheme="minorEastAsia"/>
          <w:lang w:eastAsia="ja-JP"/>
        </w:rPr>
        <w:t>).</w:t>
      </w:r>
    </w:p>
    <w:p w:rsidR="00860338" w:rsidRPr="00B60B17" w:rsidRDefault="00A35FFA" w:rsidP="00B60B17">
      <w:pPr>
        <w:autoSpaceDE w:val="0"/>
        <w:autoSpaceDN w:val="0"/>
        <w:adjustRightInd w:val="0"/>
        <w:spacing w:line="360" w:lineRule="auto"/>
        <w:ind w:firstLine="708"/>
        <w:jc w:val="both"/>
        <w:rPr>
          <w:rFonts w:eastAsiaTheme="minorEastAsia"/>
          <w:lang w:eastAsia="ja-JP"/>
        </w:rPr>
      </w:pPr>
      <w:r w:rsidRPr="00B60B17">
        <w:rPr>
          <w:rFonts w:eastAsiaTheme="minorEastAsia"/>
          <w:lang w:eastAsia="ja-JP"/>
        </w:rPr>
        <w:t xml:space="preserve">В отношении же ценовой эффективности </w:t>
      </w:r>
      <w:r w:rsidRPr="00B60B17">
        <w:rPr>
          <w:rFonts w:eastAsiaTheme="minorEastAsia"/>
          <w:lang w:val="en-US" w:eastAsia="ja-JP"/>
        </w:rPr>
        <w:t>Tone</w:t>
      </w:r>
      <w:r w:rsidRPr="00B60B17">
        <w:rPr>
          <w:rFonts w:eastAsiaTheme="minorEastAsia"/>
          <w:lang w:eastAsia="ja-JP"/>
        </w:rPr>
        <w:t xml:space="preserve"> (2002) показано, что можно применять традиционные подходы по корректировке смещения (</w:t>
      </w:r>
      <w:proofErr w:type="spellStart"/>
      <w:r w:rsidRPr="00B60B17">
        <w:rPr>
          <w:rFonts w:eastAsiaTheme="minorEastAsia"/>
          <w:lang w:eastAsia="ja-JP"/>
        </w:rPr>
        <w:t>Simar</w:t>
      </w:r>
      <w:proofErr w:type="spellEnd"/>
      <w:r w:rsidRPr="00B60B17">
        <w:rPr>
          <w:rFonts w:eastAsiaTheme="minorEastAsia"/>
          <w:lang w:eastAsia="ja-JP"/>
        </w:rPr>
        <w:t xml:space="preserve"> </w:t>
      </w:r>
      <w:proofErr w:type="spellStart"/>
      <w:r w:rsidRPr="00B60B17">
        <w:rPr>
          <w:rFonts w:eastAsiaTheme="minorEastAsia"/>
          <w:lang w:eastAsia="ja-JP"/>
        </w:rPr>
        <w:t>and</w:t>
      </w:r>
      <w:proofErr w:type="spellEnd"/>
      <w:r w:rsidRPr="00B60B17">
        <w:rPr>
          <w:rFonts w:eastAsiaTheme="minorEastAsia"/>
          <w:lang w:eastAsia="ja-JP"/>
        </w:rPr>
        <w:t xml:space="preserve"> </w:t>
      </w:r>
      <w:proofErr w:type="spellStart"/>
      <w:r w:rsidRPr="00B60B17">
        <w:rPr>
          <w:rFonts w:eastAsiaTheme="minorEastAsia"/>
          <w:lang w:eastAsia="ja-JP"/>
        </w:rPr>
        <w:t>Wilson</w:t>
      </w:r>
      <w:proofErr w:type="spellEnd"/>
      <w:r w:rsidRPr="00B60B17">
        <w:rPr>
          <w:rFonts w:eastAsiaTheme="minorEastAsia"/>
          <w:lang w:eastAsia="ja-JP"/>
        </w:rPr>
        <w:t xml:space="preserve">, 1998, 2007).  </w:t>
      </w:r>
      <w:proofErr w:type="spellStart"/>
      <w:r w:rsidRPr="00B60B17">
        <w:rPr>
          <w:rFonts w:eastAsiaTheme="minorEastAsia"/>
          <w:lang w:eastAsia="ja-JP"/>
        </w:rPr>
        <w:t>Бутс</w:t>
      </w:r>
      <w:r w:rsidR="00BD3944" w:rsidRPr="00B60B17">
        <w:rPr>
          <w:rFonts w:eastAsiaTheme="minorEastAsia"/>
          <w:lang w:eastAsia="ja-JP"/>
        </w:rPr>
        <w:t>т</w:t>
      </w:r>
      <w:r w:rsidRPr="00B60B17">
        <w:rPr>
          <w:rFonts w:eastAsiaTheme="minorEastAsia"/>
          <w:lang w:eastAsia="ja-JP"/>
        </w:rPr>
        <w:t>рап</w:t>
      </w:r>
      <w:proofErr w:type="spellEnd"/>
      <w:r w:rsidRPr="00B60B17">
        <w:rPr>
          <w:rFonts w:eastAsiaTheme="minorEastAsia"/>
          <w:lang w:eastAsia="ja-JP"/>
        </w:rPr>
        <w:t xml:space="preserve"> основан на следующих предположениях: 1) выборка представляет собой независимые случайно распределенные величины с </w:t>
      </w:r>
      <w:r w:rsidR="001C46F3" w:rsidRPr="00B60B17">
        <w:rPr>
          <w:rFonts w:eastAsiaTheme="minorEastAsia"/>
          <w:lang w:eastAsia="ja-JP"/>
        </w:rPr>
        <w:t>непрерывной</w:t>
      </w:r>
      <w:r w:rsidRPr="00B60B17">
        <w:rPr>
          <w:rFonts w:eastAsiaTheme="minorEastAsia"/>
          <w:lang w:eastAsia="ja-JP"/>
        </w:rPr>
        <w:t xml:space="preserve"> совместной плотностью на множестве производственных возможностей, 2) граница гладкая, 3) в</w:t>
      </w:r>
      <w:r w:rsidR="001C46F3">
        <w:rPr>
          <w:rFonts w:eastAsiaTheme="minorEastAsia"/>
          <w:lang w:eastAsia="ja-JP"/>
        </w:rPr>
        <w:t>ероятность наблюдения фирм на границе</w:t>
      </w:r>
      <w:r w:rsidRPr="00B60B17">
        <w:rPr>
          <w:rFonts w:eastAsiaTheme="minorEastAsia"/>
          <w:lang w:eastAsia="ja-JP"/>
        </w:rPr>
        <w:t xml:space="preserve"> </w:t>
      </w:r>
      <w:r w:rsidR="00BD3944" w:rsidRPr="00B60B17">
        <w:rPr>
          <w:rFonts w:eastAsiaTheme="minorEastAsia"/>
          <w:lang w:eastAsia="ja-JP"/>
        </w:rPr>
        <w:t xml:space="preserve">приближается к единице с увеличением выборки. Результаты </w:t>
      </w:r>
      <w:proofErr w:type="spellStart"/>
      <w:r w:rsidR="00BD3944" w:rsidRPr="00B60B17">
        <w:rPr>
          <w:rFonts w:eastAsiaTheme="minorEastAsia"/>
          <w:lang w:eastAsia="ja-JP"/>
        </w:rPr>
        <w:t>симуляционного</w:t>
      </w:r>
      <w:proofErr w:type="spellEnd"/>
      <w:r w:rsidR="00BD3944" w:rsidRPr="00B60B17">
        <w:rPr>
          <w:rFonts w:eastAsiaTheme="minorEastAsia"/>
          <w:lang w:eastAsia="ja-JP"/>
        </w:rPr>
        <w:t xml:space="preserve"> анализа с много-продуктовой и </w:t>
      </w:r>
      <w:r w:rsidR="00AD3BC3" w:rsidRPr="00B60B17">
        <w:rPr>
          <w:rFonts w:eastAsiaTheme="minorEastAsia"/>
          <w:lang w:eastAsia="ja-JP"/>
        </w:rPr>
        <w:t>многофакторной</w:t>
      </w:r>
      <w:r w:rsidR="00BD3944" w:rsidRPr="00B60B17">
        <w:rPr>
          <w:rFonts w:eastAsiaTheme="minorEastAsia"/>
          <w:lang w:eastAsia="ja-JP"/>
        </w:rPr>
        <w:t xml:space="preserve"> производственной функцией </w:t>
      </w:r>
      <w:proofErr w:type="spellStart"/>
      <w:r w:rsidR="00BD3944" w:rsidRPr="00B60B17">
        <w:rPr>
          <w:rFonts w:eastAsiaTheme="minorEastAsia"/>
          <w:lang w:eastAsia="ja-JP"/>
        </w:rPr>
        <w:t>Кобба</w:t>
      </w:r>
      <w:proofErr w:type="spellEnd"/>
      <w:r w:rsidR="00BD3944" w:rsidRPr="00B60B17">
        <w:rPr>
          <w:rFonts w:eastAsiaTheme="minorEastAsia"/>
          <w:lang w:eastAsia="ja-JP"/>
        </w:rPr>
        <w:t xml:space="preserve">-Дугласа с коррелированными выпусками и </w:t>
      </w:r>
      <w:proofErr w:type="spellStart"/>
      <w:r w:rsidR="00AD3BC3">
        <w:rPr>
          <w:rFonts w:eastAsiaTheme="minorEastAsia"/>
          <w:lang w:eastAsia="ja-JP"/>
        </w:rPr>
        <w:t>с</w:t>
      </w:r>
      <w:r w:rsidR="00AD3BC3" w:rsidRPr="00B60B17">
        <w:rPr>
          <w:rFonts w:eastAsiaTheme="minorEastAsia"/>
          <w:lang w:eastAsia="ja-JP"/>
        </w:rPr>
        <w:t>коррелированными</w:t>
      </w:r>
      <w:proofErr w:type="spellEnd"/>
      <w:r w:rsidR="00BD3944" w:rsidRPr="00B60B17">
        <w:rPr>
          <w:rFonts w:eastAsiaTheme="minorEastAsia"/>
          <w:lang w:eastAsia="ja-JP"/>
        </w:rPr>
        <w:t xml:space="preserve"> технической и ценовой эффективностью показали применимость подобного алгоритма даже для маленьких выборок. </w:t>
      </w:r>
      <w:r w:rsidR="0023491C" w:rsidRPr="00B60B17">
        <w:rPr>
          <w:rFonts w:eastAsiaTheme="minorEastAsia"/>
          <w:lang w:eastAsia="ja-JP"/>
        </w:rPr>
        <w:t>Эмпирическая</w:t>
      </w:r>
      <w:r w:rsidR="00BD3944" w:rsidRPr="00B60B17">
        <w:rPr>
          <w:rFonts w:eastAsiaTheme="minorEastAsia"/>
          <w:lang w:eastAsia="ja-JP"/>
        </w:rPr>
        <w:t xml:space="preserve"> часть работы посвящена анализу цено</w:t>
      </w:r>
      <w:r w:rsidR="0023491C">
        <w:rPr>
          <w:rFonts w:eastAsiaTheme="minorEastAsia"/>
          <w:lang w:eastAsia="ja-JP"/>
        </w:rPr>
        <w:t>вой эффективности в группах японс</w:t>
      </w:r>
      <w:r w:rsidR="00BD3944" w:rsidRPr="00B60B17">
        <w:rPr>
          <w:rFonts w:eastAsiaTheme="minorEastAsia"/>
          <w:lang w:eastAsia="ja-JP"/>
        </w:rPr>
        <w:t>ких банков в 2013 г.</w:t>
      </w:r>
    </w:p>
    <w:p w:rsidR="009C46DA" w:rsidRPr="00B60B17" w:rsidRDefault="009C46DA" w:rsidP="00B60B17">
      <w:pPr>
        <w:autoSpaceDE w:val="0"/>
        <w:autoSpaceDN w:val="0"/>
        <w:adjustRightInd w:val="0"/>
        <w:spacing w:line="360" w:lineRule="auto"/>
        <w:ind w:firstLine="708"/>
        <w:jc w:val="both"/>
        <w:rPr>
          <w:rFonts w:eastAsiaTheme="minorEastAsia"/>
          <w:lang w:eastAsia="ja-JP"/>
        </w:rPr>
      </w:pPr>
    </w:p>
    <w:p w:rsidR="00822D20" w:rsidRPr="00B60B17" w:rsidRDefault="00822D20" w:rsidP="00B60B17">
      <w:pPr>
        <w:autoSpaceDE w:val="0"/>
        <w:autoSpaceDN w:val="0"/>
        <w:adjustRightInd w:val="0"/>
        <w:spacing w:line="360" w:lineRule="auto"/>
        <w:ind w:firstLine="708"/>
        <w:jc w:val="both"/>
        <w:rPr>
          <w:rFonts w:eastAsiaTheme="minorEastAsia"/>
          <w:lang w:eastAsia="ja-JP"/>
        </w:rPr>
      </w:pPr>
      <w:r w:rsidRPr="00B60B17">
        <w:rPr>
          <w:b/>
          <w:i/>
        </w:rPr>
        <w:t>Ядерные регрессии</w:t>
      </w:r>
    </w:p>
    <w:p w:rsidR="00822D20" w:rsidRPr="00B60B17" w:rsidRDefault="00E06A12" w:rsidP="00B60B17">
      <w:pPr>
        <w:spacing w:line="360" w:lineRule="auto"/>
        <w:ind w:firstLine="539"/>
        <w:jc w:val="both"/>
      </w:pPr>
      <w:r w:rsidRPr="00B60B17">
        <w:rPr>
          <w:rFonts w:eastAsiaTheme="minorEastAsia"/>
          <w:lang w:eastAsia="ja-JP"/>
        </w:rPr>
        <w:t xml:space="preserve">В работе </w:t>
      </w:r>
      <w:r w:rsidR="00822D20" w:rsidRPr="00B60B17">
        <w:rPr>
          <w:rFonts w:eastAsiaTheme="minorEastAsia"/>
          <w:lang w:val="en-US" w:eastAsia="ja-JP"/>
        </w:rPr>
        <w:t>Besstremyannaya</w:t>
      </w:r>
      <w:r w:rsidR="00822D20" w:rsidRPr="00B60B17">
        <w:rPr>
          <w:rFonts w:eastAsiaTheme="minorEastAsia"/>
          <w:lang w:eastAsia="ja-JP"/>
        </w:rPr>
        <w:t xml:space="preserve"> (2015</w:t>
      </w:r>
      <w:r w:rsidR="00CE7F3E">
        <w:rPr>
          <w:rFonts w:eastAsiaTheme="minorEastAsia"/>
          <w:lang w:val="en-US" w:eastAsia="ja-JP"/>
        </w:rPr>
        <w:t>a</w:t>
      </w:r>
      <w:r w:rsidR="00822D20" w:rsidRPr="00B60B17">
        <w:rPr>
          <w:rFonts w:eastAsiaTheme="minorEastAsia"/>
          <w:lang w:eastAsia="ja-JP"/>
        </w:rPr>
        <w:t xml:space="preserve">) </w:t>
      </w:r>
      <w:r w:rsidRPr="00B60B17">
        <w:rPr>
          <w:rFonts w:eastAsiaTheme="minorEastAsia"/>
          <w:lang w:eastAsia="ja-JP"/>
        </w:rPr>
        <w:t xml:space="preserve">использована </w:t>
      </w:r>
      <w:r w:rsidR="00822D20" w:rsidRPr="00B60B17">
        <w:t>непараметрическая модель с «ядерными регрессиями», которые применяются   для изучения влияния частных страховых медицинских организаций в регионах Российской Федерации в 2000-2008 годы на агрегированные показатели качества региональных систем здравоохранения: уровень младенческой смертности, материнской смертности и смертности детей в возрасте до пяти лет. Для оценивания взаимосвязи между показателями качества и типом региональной системы ОМС используются три мо</w:t>
      </w:r>
      <w:r w:rsidR="00B11F52" w:rsidRPr="00B60B17">
        <w:t xml:space="preserve">дели. В базовой параметрической линейной МНК </w:t>
      </w:r>
      <w:r w:rsidR="00822D20" w:rsidRPr="00B60B17">
        <w:t xml:space="preserve">модели тип региональной системы ОМС рассматривается либо как ранговая, либо как бинарная переменная. В расширенной параметрической модели учитывается </w:t>
      </w:r>
      <w:proofErr w:type="spellStart"/>
      <w:r w:rsidR="00822D20" w:rsidRPr="00B60B17">
        <w:t>эндогенность</w:t>
      </w:r>
      <w:proofErr w:type="spellEnd"/>
      <w:r w:rsidR="00822D20" w:rsidRPr="00B60B17">
        <w:t xml:space="preserve"> переменной, </w:t>
      </w:r>
      <w:r w:rsidR="00822D20" w:rsidRPr="00B60B17">
        <w:lastRenderedPageBreak/>
        <w:t>отвечающей за тип системы ОМС, и применяется метод инструментальных переменных</w:t>
      </w:r>
      <w:r w:rsidR="00B11F52" w:rsidRPr="00B60B17">
        <w:t xml:space="preserve"> в рамках </w:t>
      </w:r>
      <w:proofErr w:type="spellStart"/>
      <w:r w:rsidR="00B11F52" w:rsidRPr="00B60B17">
        <w:t>двухшаговой</w:t>
      </w:r>
      <w:proofErr w:type="spellEnd"/>
      <w:r w:rsidR="00B11F52" w:rsidRPr="00B60B17">
        <w:t xml:space="preserve"> МНК процедуры</w:t>
      </w:r>
      <w:r w:rsidR="00822D20" w:rsidRPr="00B60B17">
        <w:t xml:space="preserve">. Третья модель является непараметрической и использует метод «ядерных» регрессий. </w:t>
      </w:r>
    </w:p>
    <w:p w:rsidR="00A946DA" w:rsidRPr="00B60B17" w:rsidRDefault="00651D3D" w:rsidP="00B60B17">
      <w:pPr>
        <w:spacing w:line="360" w:lineRule="auto"/>
        <w:ind w:firstLine="539"/>
        <w:jc w:val="both"/>
      </w:pPr>
      <w:r w:rsidRPr="00B60B17">
        <w:t xml:space="preserve">В работе показано, что </w:t>
      </w:r>
      <w:r w:rsidR="00A946DA" w:rsidRPr="00B60B17">
        <w:t xml:space="preserve">наличие частных страховых медицинских организаций в качестве единственных агентов на рынке ОМС положительно связано с качеством региональных систем здравоохранения. </w:t>
      </w:r>
      <w:r w:rsidR="00A946DA" w:rsidRPr="00B60B17">
        <w:rPr>
          <w:kern w:val="2"/>
          <w:lang w:eastAsia="ja-JP"/>
        </w:rPr>
        <w:t>В</w:t>
      </w:r>
      <w:r w:rsidR="00A946DA" w:rsidRPr="00B60B17">
        <w:t xml:space="preserve"> рамках базовой модели, оцененной на данных 85 регионов РФ в 2000-2008 годы, наблюдается значимость переменной «тип региональной системы ОМС» при объяснении младенческой смертности и смертности детей в возрасте до пяти лет, а в рамках ядерных регрессий – значимость данной переменной наблюдается и при объяснении материнской смертности. В то же время, в расширенной модели прогнозные значения типа региональной системы ОМС являются незначимыми. Этот факт может быть проинтерпретирован как </w:t>
      </w:r>
      <w:proofErr w:type="spellStart"/>
      <w:r w:rsidR="00A946DA" w:rsidRPr="00B60B17">
        <w:t>сонаправленное</w:t>
      </w:r>
      <w:proofErr w:type="spellEnd"/>
      <w:r w:rsidR="00A946DA" w:rsidRPr="00B60B17">
        <w:t xml:space="preserve"> действие эффекта институциональной среды в регионе и влияния частных страховых медицинских организаций. </w:t>
      </w:r>
    </w:p>
    <w:p w:rsidR="00822D20" w:rsidRPr="00B60B17" w:rsidRDefault="00651D3D" w:rsidP="00B60B17">
      <w:pPr>
        <w:spacing w:line="360" w:lineRule="auto"/>
        <w:ind w:firstLine="539"/>
        <w:jc w:val="both"/>
      </w:pPr>
      <w:r w:rsidRPr="00B60B17">
        <w:t>Ин</w:t>
      </w:r>
      <w:r w:rsidR="00822D20" w:rsidRPr="00B60B17">
        <w:t xml:space="preserve">струментарий </w:t>
      </w:r>
      <w:r w:rsidRPr="00B60B17">
        <w:t xml:space="preserve">ядерных регрессий </w:t>
      </w:r>
      <w:r w:rsidR="00822D20" w:rsidRPr="00B60B17">
        <w:t xml:space="preserve">применен </w:t>
      </w:r>
      <w:r w:rsidR="001C46F3">
        <w:t xml:space="preserve">также </w:t>
      </w:r>
      <w:r w:rsidR="00822D20" w:rsidRPr="00B60B17">
        <w:t>для оценки влияния урбанизации в</w:t>
      </w:r>
      <w:r w:rsidR="001C46F3">
        <w:t xml:space="preserve"> регионах Российской </w:t>
      </w:r>
      <w:proofErr w:type="gramStart"/>
      <w:r w:rsidR="001C46F3">
        <w:t>Федерации  в</w:t>
      </w:r>
      <w:proofErr w:type="gramEnd"/>
      <w:r w:rsidR="001C46F3">
        <w:t xml:space="preserve"> работе </w:t>
      </w:r>
      <w:r w:rsidR="00822D20" w:rsidRPr="00B60B17">
        <w:rPr>
          <w:rFonts w:eastAsiaTheme="minorEastAsia"/>
          <w:lang w:val="en-US" w:eastAsia="ja-JP"/>
        </w:rPr>
        <w:t>Besstremyannaya</w:t>
      </w:r>
      <w:r w:rsidR="00822D20" w:rsidRPr="00B60B17">
        <w:rPr>
          <w:rFonts w:eastAsiaTheme="minorEastAsia"/>
          <w:lang w:eastAsia="ja-JP"/>
        </w:rPr>
        <w:t xml:space="preserve"> </w:t>
      </w:r>
      <w:r w:rsidR="001C46F3">
        <w:rPr>
          <w:rFonts w:eastAsiaTheme="minorEastAsia"/>
          <w:lang w:eastAsia="ja-JP"/>
        </w:rPr>
        <w:t>(</w:t>
      </w:r>
      <w:r w:rsidR="00822D20" w:rsidRPr="00B60B17">
        <w:rPr>
          <w:rFonts w:eastAsiaTheme="minorEastAsia"/>
          <w:lang w:eastAsia="ja-JP"/>
        </w:rPr>
        <w:t>2014</w:t>
      </w:r>
      <w:r w:rsidR="00822D20" w:rsidRPr="00B60B17">
        <w:t>).</w:t>
      </w:r>
    </w:p>
    <w:p w:rsidR="00822D20" w:rsidRPr="00B60B17" w:rsidRDefault="00C87C3F" w:rsidP="00B60B17">
      <w:pPr>
        <w:spacing w:line="360" w:lineRule="auto"/>
        <w:ind w:firstLine="708"/>
        <w:jc w:val="both"/>
        <w:rPr>
          <w:b/>
        </w:rPr>
      </w:pPr>
      <w:r w:rsidRPr="00B60B17">
        <w:rPr>
          <w:b/>
        </w:rPr>
        <w:t xml:space="preserve">4. </w:t>
      </w:r>
      <w:r w:rsidR="00822D20" w:rsidRPr="00B60B17">
        <w:rPr>
          <w:b/>
        </w:rPr>
        <w:t>Оценивание эффекта воздействия</w:t>
      </w:r>
    </w:p>
    <w:p w:rsidR="00C87C3F" w:rsidRPr="00B60B17" w:rsidRDefault="00822D20" w:rsidP="00B60B17">
      <w:pPr>
        <w:spacing w:line="360" w:lineRule="auto"/>
        <w:jc w:val="both"/>
        <w:rPr>
          <w:rStyle w:val="medium-font"/>
          <w:rFonts w:eastAsiaTheme="majorEastAsia"/>
        </w:rPr>
      </w:pPr>
      <w:r w:rsidRPr="00B60B17">
        <w:tab/>
      </w:r>
      <w:r w:rsidR="00BD3944" w:rsidRPr="00B60B17">
        <w:t xml:space="preserve">В работе </w:t>
      </w:r>
      <w:r w:rsidR="00BD3944" w:rsidRPr="00B60B17">
        <w:rPr>
          <w:rFonts w:eastAsiaTheme="minorEastAsia"/>
          <w:lang w:val="en-US" w:eastAsia="ja-JP"/>
        </w:rPr>
        <w:t>Besstremyannaya</w:t>
      </w:r>
      <w:r w:rsidR="00BD3944" w:rsidRPr="00B60B17">
        <w:rPr>
          <w:rFonts w:eastAsiaTheme="minorEastAsia"/>
          <w:lang w:eastAsia="ja-JP"/>
        </w:rPr>
        <w:t xml:space="preserve"> (2013) с помощью методами «разность-разностей» оценен </w:t>
      </w:r>
      <w:r w:rsidR="00C87C3F" w:rsidRPr="00B60B17">
        <w:t>эффект воздействия реформы финансирования на техническую эффективность производителей в экономике здравоохранения</w:t>
      </w:r>
      <w:r w:rsidR="00C87C3F" w:rsidRPr="00B60B17">
        <w:rPr>
          <w:lang w:eastAsia="ja-JP"/>
        </w:rPr>
        <w:t xml:space="preserve">, </w:t>
      </w:r>
      <w:r w:rsidR="00BD3944" w:rsidRPr="00B60B17">
        <w:rPr>
          <w:lang w:eastAsia="ja-JP"/>
        </w:rPr>
        <w:t xml:space="preserve">измеренную </w:t>
      </w:r>
      <w:r w:rsidR="00C87C3F" w:rsidRPr="00B60B17">
        <w:rPr>
          <w:lang w:eastAsia="ja-JP"/>
        </w:rPr>
        <w:t xml:space="preserve">с </w:t>
      </w:r>
      <w:r w:rsidR="00651D3D" w:rsidRPr="00B60B17">
        <w:rPr>
          <w:lang w:eastAsia="ja-JP"/>
        </w:rPr>
        <w:t xml:space="preserve">помощью </w:t>
      </w:r>
      <w:proofErr w:type="spellStart"/>
      <w:r w:rsidR="00651D3D" w:rsidRPr="00B60B17">
        <w:rPr>
          <w:lang w:eastAsia="ja-JP"/>
        </w:rPr>
        <w:t>параметрическеского</w:t>
      </w:r>
      <w:proofErr w:type="spellEnd"/>
      <w:r w:rsidR="00651D3D" w:rsidRPr="00B60B17">
        <w:rPr>
          <w:lang w:eastAsia="ja-JP"/>
        </w:rPr>
        <w:t xml:space="preserve"> и непараметрического анализа границы</w:t>
      </w:r>
      <w:r w:rsidR="00C87C3F" w:rsidRPr="00B60B17">
        <w:t xml:space="preserve">. </w:t>
      </w:r>
      <w:r w:rsidR="00BD3944" w:rsidRPr="00B60B17">
        <w:t>Р</w:t>
      </w:r>
      <w:r w:rsidR="00C87C3F" w:rsidRPr="00B60B17">
        <w:t>ассмотрена реформа, предполагающая добровольный переход от оплаты за каждую услугу (</w:t>
      </w:r>
      <w:r w:rsidR="00BD3944" w:rsidRPr="00B60B17">
        <w:rPr>
          <w:rFonts w:eastAsiaTheme="minorEastAsia"/>
          <w:lang w:val="en-US" w:eastAsia="ja-JP"/>
        </w:rPr>
        <w:t>fee</w:t>
      </w:r>
      <w:r w:rsidR="00BD3944" w:rsidRPr="00B60B17">
        <w:rPr>
          <w:rFonts w:eastAsiaTheme="minorEastAsia"/>
          <w:lang w:eastAsia="ja-JP"/>
        </w:rPr>
        <w:t xml:space="preserve"> </w:t>
      </w:r>
      <w:r w:rsidR="00BD3944" w:rsidRPr="00B60B17">
        <w:rPr>
          <w:rFonts w:eastAsiaTheme="minorEastAsia"/>
          <w:lang w:val="en-US" w:eastAsia="ja-JP"/>
        </w:rPr>
        <w:t>for</w:t>
      </w:r>
      <w:r w:rsidR="00BD3944" w:rsidRPr="00B60B17">
        <w:rPr>
          <w:rFonts w:eastAsiaTheme="minorEastAsia"/>
          <w:lang w:eastAsia="ja-JP"/>
        </w:rPr>
        <w:t xml:space="preserve"> </w:t>
      </w:r>
      <w:r w:rsidR="00BD3944" w:rsidRPr="00B60B17">
        <w:rPr>
          <w:rFonts w:eastAsiaTheme="minorEastAsia"/>
          <w:lang w:val="en-US" w:eastAsia="ja-JP"/>
        </w:rPr>
        <w:t>service</w:t>
      </w:r>
      <w:r w:rsidR="00BD3944" w:rsidRPr="00B60B17">
        <w:rPr>
          <w:rFonts w:eastAsiaTheme="minorEastAsia"/>
          <w:lang w:eastAsia="ja-JP"/>
        </w:rPr>
        <w:t xml:space="preserve">, </w:t>
      </w:r>
      <w:r w:rsidR="00C87C3F" w:rsidRPr="00B60B17">
        <w:rPr>
          <w:rStyle w:val="medium-font"/>
          <w:rFonts w:eastAsiaTheme="majorEastAsia"/>
          <w:lang w:val="en-US"/>
        </w:rPr>
        <w:t>FFS</w:t>
      </w:r>
      <w:r w:rsidR="00C87C3F" w:rsidRPr="00B60B17">
        <w:t xml:space="preserve">) к </w:t>
      </w:r>
      <w:r w:rsidR="00BD3944" w:rsidRPr="00B60B17">
        <w:t xml:space="preserve">фиксированной </w:t>
      </w:r>
      <w:r w:rsidR="001C46F3">
        <w:t xml:space="preserve">(перспективной) </w:t>
      </w:r>
      <w:r w:rsidR="00C87C3F" w:rsidRPr="00B60B17">
        <w:t>оплате</w:t>
      </w:r>
      <w:r w:rsidR="00BD3944" w:rsidRPr="00B60B17">
        <w:t xml:space="preserve"> </w:t>
      </w:r>
      <w:r w:rsidR="00C87C3F" w:rsidRPr="00B60B17">
        <w:t>за законченный случай лечения</w:t>
      </w:r>
      <w:r w:rsidR="00BD3944" w:rsidRPr="00B60B17">
        <w:t xml:space="preserve"> для каждой</w:t>
      </w:r>
      <w:r w:rsidR="00C87C3F" w:rsidRPr="00B60B17">
        <w:t xml:space="preserve"> групп</w:t>
      </w:r>
      <w:r w:rsidR="00BD3944" w:rsidRPr="00B60B17">
        <w:t>ы</w:t>
      </w:r>
      <w:r w:rsidR="00C87C3F" w:rsidRPr="00B60B17">
        <w:t xml:space="preserve"> м</w:t>
      </w:r>
      <w:r w:rsidR="00BD3944" w:rsidRPr="00B60B17">
        <w:t>едицинских диагнозов и процедур</w:t>
      </w:r>
      <w:proofErr w:type="gramStart"/>
      <w:r w:rsidR="00BD3944" w:rsidRPr="00B60B17">
        <w:t xml:space="preserve">   (</w:t>
      </w:r>
      <w:proofErr w:type="gramEnd"/>
      <w:r w:rsidR="00BD3944" w:rsidRPr="00B60B17">
        <w:rPr>
          <w:lang w:val="en-US"/>
        </w:rPr>
        <w:t>prospective</w:t>
      </w:r>
      <w:r w:rsidR="00BD3944" w:rsidRPr="00B60B17">
        <w:t xml:space="preserve"> </w:t>
      </w:r>
      <w:r w:rsidR="00BD3944" w:rsidRPr="00B60B17">
        <w:rPr>
          <w:lang w:val="en-US"/>
        </w:rPr>
        <w:t>payment</w:t>
      </w:r>
      <w:r w:rsidR="00BD3944" w:rsidRPr="00B60B17">
        <w:t xml:space="preserve"> </w:t>
      </w:r>
      <w:r w:rsidR="00BD3944" w:rsidRPr="00B60B17">
        <w:rPr>
          <w:lang w:val="en-US"/>
        </w:rPr>
        <w:t>system</w:t>
      </w:r>
      <w:r w:rsidR="00BD3944" w:rsidRPr="00B60B17">
        <w:t xml:space="preserve">, </w:t>
      </w:r>
      <w:r w:rsidR="00BD3944" w:rsidRPr="00B60B17">
        <w:rPr>
          <w:rStyle w:val="medium-font"/>
          <w:rFonts w:eastAsiaTheme="majorEastAsia"/>
          <w:lang w:val="en-US"/>
        </w:rPr>
        <w:t>PPS</w:t>
      </w:r>
      <w:r w:rsidR="00BD3944" w:rsidRPr="00B60B17">
        <w:t>)</w:t>
      </w:r>
      <w:r w:rsidR="00C87C3F" w:rsidRPr="00B60B17">
        <w:t xml:space="preserve">. Оценивание эффекта воздействия дает возможность сопоставить </w:t>
      </w:r>
      <w:proofErr w:type="spellStart"/>
      <w:r w:rsidR="00C87C3F" w:rsidRPr="00B60B17">
        <w:t>послереформенные</w:t>
      </w:r>
      <w:proofErr w:type="spellEnd"/>
      <w:r w:rsidR="00C87C3F" w:rsidRPr="00B60B17">
        <w:t xml:space="preserve"> значения технической эффективности в реформированных стационарах с возможными значениями эффективности в этих же стационарах в </w:t>
      </w:r>
      <w:proofErr w:type="spellStart"/>
      <w:r w:rsidR="00C87C3F" w:rsidRPr="00B60B17">
        <w:t>послереформенные</w:t>
      </w:r>
      <w:proofErr w:type="spellEnd"/>
      <w:r w:rsidR="00C87C3F" w:rsidRPr="00B60B17">
        <w:t xml:space="preserve"> годы, в случае неучастия в реформе. Поэтому оценки эффекта воздействия дополняют традиционные методы, сравнивающие значения интересующего показателя в </w:t>
      </w:r>
      <w:proofErr w:type="gramStart"/>
      <w:r w:rsidR="00C87C3F" w:rsidRPr="00B60B17">
        <w:t>до- и</w:t>
      </w:r>
      <w:proofErr w:type="gramEnd"/>
      <w:r w:rsidR="00C87C3F" w:rsidRPr="00B60B17">
        <w:t xml:space="preserve"> </w:t>
      </w:r>
      <w:proofErr w:type="spellStart"/>
      <w:r w:rsidR="00C87C3F" w:rsidRPr="00B60B17">
        <w:t>послереформенные</w:t>
      </w:r>
      <w:proofErr w:type="spellEnd"/>
      <w:r w:rsidR="00C87C3F" w:rsidRPr="00B60B17">
        <w:t xml:space="preserve"> годы. Для измерения эффекта воздействия для группы реформированных стационаров (то есть присоединившихся к финансированию </w:t>
      </w:r>
      <w:r w:rsidR="001C46F3">
        <w:t>по группам</w:t>
      </w:r>
      <w:r w:rsidR="00C87C3F" w:rsidRPr="00B60B17">
        <w:t xml:space="preserve"> связанных медицинских диагнозов и процедур) строится контрольная группа стационаров, все годы финансируемых согласно методу оплаты за каждую услугу. В качестве объекта исследования рассмотрены муниципальные стационары Японии в </w:t>
      </w:r>
      <w:r w:rsidR="00C87C3F" w:rsidRPr="00B60B17">
        <w:rPr>
          <w:rStyle w:val="medium-font"/>
          <w:rFonts w:eastAsiaTheme="majorEastAsia"/>
        </w:rPr>
        <w:t xml:space="preserve">1999-2009 годы. Вначале для различных </w:t>
      </w:r>
      <w:proofErr w:type="spellStart"/>
      <w:r w:rsidR="00C87C3F" w:rsidRPr="00B60B17">
        <w:rPr>
          <w:rStyle w:val="medium-font"/>
          <w:rFonts w:eastAsiaTheme="majorEastAsia"/>
        </w:rPr>
        <w:t>многопродуктовых</w:t>
      </w:r>
      <w:proofErr w:type="spellEnd"/>
      <w:r w:rsidR="00C87C3F" w:rsidRPr="00B60B17">
        <w:rPr>
          <w:rStyle w:val="medium-font"/>
          <w:rFonts w:eastAsiaTheme="majorEastAsia"/>
        </w:rPr>
        <w:t xml:space="preserve"> моделей с разными видами факторов </w:t>
      </w:r>
      <w:r w:rsidR="001C46F3" w:rsidRPr="00B60B17">
        <w:rPr>
          <w:rStyle w:val="medium-font"/>
          <w:rFonts w:eastAsiaTheme="majorEastAsia"/>
        </w:rPr>
        <w:t>производства с</w:t>
      </w:r>
      <w:r w:rsidR="00C87C3F" w:rsidRPr="00B60B17">
        <w:rPr>
          <w:rStyle w:val="medium-font"/>
          <w:rFonts w:eastAsiaTheme="majorEastAsia"/>
        </w:rPr>
        <w:t xml:space="preserve"> помощью параметрических и робастных непараметрических </w:t>
      </w:r>
      <w:r w:rsidR="00C87C3F" w:rsidRPr="00B60B17">
        <w:rPr>
          <w:rStyle w:val="medium-font"/>
          <w:rFonts w:eastAsiaTheme="majorEastAsia"/>
        </w:rPr>
        <w:lastRenderedPageBreak/>
        <w:t xml:space="preserve">моделей анализа границы измеряется техническая эффективность. </w:t>
      </w:r>
      <w:r w:rsidR="00C87C3F" w:rsidRPr="00B60B17">
        <w:t xml:space="preserve"> Описательный анализ полученных оценок технической эффективности свидетельствует об их отрицательной динамике в </w:t>
      </w:r>
      <w:r w:rsidR="00C87C3F" w:rsidRPr="00B60B17">
        <w:rPr>
          <w:rStyle w:val="medium-font"/>
          <w:rFonts w:eastAsiaTheme="majorEastAsia"/>
        </w:rPr>
        <w:t xml:space="preserve">2006-2007 годы и положительной динамике в 2008-2009 годы как в группе </w:t>
      </w:r>
      <w:r w:rsidR="00C87C3F" w:rsidRPr="00B60B17">
        <w:rPr>
          <w:rStyle w:val="medium-font"/>
          <w:rFonts w:eastAsiaTheme="majorEastAsia"/>
          <w:lang w:val="en-US"/>
        </w:rPr>
        <w:t>PPS</w:t>
      </w:r>
      <w:r w:rsidR="00C87C3F" w:rsidRPr="00B60B17">
        <w:rPr>
          <w:rStyle w:val="medium-font"/>
          <w:rFonts w:eastAsiaTheme="majorEastAsia"/>
        </w:rPr>
        <w:t xml:space="preserve">, так и в группе </w:t>
      </w:r>
      <w:r w:rsidR="00C87C3F" w:rsidRPr="00B60B17">
        <w:rPr>
          <w:rStyle w:val="medium-font"/>
          <w:rFonts w:eastAsiaTheme="majorEastAsia"/>
          <w:lang w:val="en-US"/>
        </w:rPr>
        <w:t>FFS</w:t>
      </w:r>
      <w:r w:rsidR="00C87C3F" w:rsidRPr="00B60B17">
        <w:rPr>
          <w:rStyle w:val="medium-font"/>
          <w:rFonts w:eastAsiaTheme="majorEastAsia"/>
        </w:rPr>
        <w:t xml:space="preserve"> стационаров. Оценки эффекта воздействия методом «разность разностей» показали, что реформа финансирования </w:t>
      </w:r>
      <w:r w:rsidR="00C87C3F" w:rsidRPr="00B60B17">
        <w:rPr>
          <w:rStyle w:val="medium-font"/>
          <w:rFonts w:eastAsiaTheme="majorEastAsia"/>
          <w:lang w:val="en-US"/>
        </w:rPr>
        <w:t>PPS</w:t>
      </w:r>
      <w:r w:rsidR="00C87C3F" w:rsidRPr="00B60B17">
        <w:rPr>
          <w:rStyle w:val="medium-font"/>
          <w:rFonts w:eastAsiaTheme="majorEastAsia"/>
        </w:rPr>
        <w:t xml:space="preserve"> имеет незначительное положительное </w:t>
      </w:r>
      <w:r w:rsidR="00C87C3F" w:rsidRPr="00B60B17">
        <w:rPr>
          <w:rStyle w:val="medium-font"/>
        </w:rPr>
        <w:t>влияние</w:t>
      </w:r>
      <w:r w:rsidR="00C87C3F" w:rsidRPr="00B60B17">
        <w:rPr>
          <w:rStyle w:val="medium-font"/>
          <w:rFonts w:eastAsiaTheme="majorEastAsia"/>
        </w:rPr>
        <w:t xml:space="preserve"> на техническую эффективность. Результаты могут быть проинтерпретированы как отсутствие взаимосвязи между внедренной в Японии системой финансирования </w:t>
      </w:r>
      <w:r w:rsidR="00C87C3F" w:rsidRPr="00B60B17">
        <w:t>согласно группам связанных медицинских диагнозов и процедур и повышением эффективности. Можно предположить, что необходимые стимулы к повышению эффективности, вероятнее всего, потребуют модификации нынешней системы тарифов в перспективной оплате согласно группам связанных медицинских диагнозов и процедур.</w:t>
      </w:r>
      <w:r w:rsidR="00C87C3F" w:rsidRPr="00B60B17">
        <w:rPr>
          <w:rStyle w:val="medium-font"/>
          <w:rFonts w:eastAsiaTheme="majorEastAsia"/>
        </w:rPr>
        <w:t xml:space="preserve"> </w:t>
      </w:r>
    </w:p>
    <w:p w:rsidR="00C87C3F" w:rsidRPr="00B60B17" w:rsidRDefault="00227BDF" w:rsidP="00B60B17">
      <w:pPr>
        <w:spacing w:line="360" w:lineRule="auto"/>
        <w:jc w:val="both"/>
        <w:rPr>
          <w:rFonts w:eastAsiaTheme="minorEastAsia"/>
          <w:lang w:eastAsia="ja-JP"/>
        </w:rPr>
      </w:pPr>
      <w:r w:rsidRPr="00B60B17">
        <w:tab/>
      </w:r>
      <w:r w:rsidR="00BD3944" w:rsidRPr="00B60B17">
        <w:t xml:space="preserve">В работе </w:t>
      </w:r>
      <w:r w:rsidRPr="00B60B17">
        <w:rPr>
          <w:rFonts w:eastAsiaTheme="minorEastAsia"/>
          <w:lang w:val="en-US" w:eastAsia="ja-JP"/>
        </w:rPr>
        <w:t>Besstremyannaya</w:t>
      </w:r>
      <w:r w:rsidRPr="00B60B17">
        <w:rPr>
          <w:rFonts w:eastAsiaTheme="minorEastAsia"/>
          <w:lang w:eastAsia="ja-JP"/>
        </w:rPr>
        <w:t xml:space="preserve"> (2015</w:t>
      </w:r>
      <w:r w:rsidR="00CE7F3E">
        <w:rPr>
          <w:rFonts w:eastAsiaTheme="minorEastAsia"/>
          <w:lang w:val="en-US" w:eastAsia="ja-JP"/>
        </w:rPr>
        <w:t>b</w:t>
      </w:r>
      <w:r w:rsidRPr="00B60B17">
        <w:rPr>
          <w:rFonts w:eastAsiaTheme="minorEastAsia"/>
          <w:lang w:eastAsia="ja-JP"/>
        </w:rPr>
        <w:t xml:space="preserve">) </w:t>
      </w:r>
      <w:r w:rsidR="00C87C3F" w:rsidRPr="00B60B17">
        <w:t xml:space="preserve">впервые оценивается средний эффект воздействия реформ в здравоохранении на гетерогенных потребителей. Используются </w:t>
      </w:r>
      <w:proofErr w:type="spellStart"/>
      <w:r w:rsidR="00C87C3F" w:rsidRPr="00B60B17">
        <w:t>лонгитьюдные</w:t>
      </w:r>
      <w:proofErr w:type="spellEnd"/>
      <w:r w:rsidR="00C87C3F" w:rsidRPr="00B60B17">
        <w:t xml:space="preserve"> данные японского панельного опроса потребителей (2000-2008 годы) </w:t>
      </w:r>
      <w:proofErr w:type="gramStart"/>
      <w:r w:rsidR="00C87C3F" w:rsidRPr="00B60B17">
        <w:t>и  анализируется</w:t>
      </w:r>
      <w:proofErr w:type="gramEnd"/>
      <w:r w:rsidR="00C87C3F" w:rsidRPr="00B60B17">
        <w:t xml:space="preserve"> эффект реформы 2003 года, связанной с повышением ставки </w:t>
      </w:r>
      <w:proofErr w:type="spellStart"/>
      <w:r w:rsidR="00C87C3F" w:rsidRPr="00B60B17">
        <w:t>соплатежа</w:t>
      </w:r>
      <w:proofErr w:type="spellEnd"/>
      <w:r w:rsidR="00C87C3F" w:rsidRPr="00B60B17">
        <w:t xml:space="preserve"> для подгруппы потребителей (главы домохозяйств в некоторых планах медицинского страхования). Результаты оценивания панельной модели с латентными классами модели показали, что эффект цены на медицинские услуги и лекарства (</w:t>
      </w:r>
      <w:proofErr w:type="spellStart"/>
      <w:r w:rsidR="00C87C3F" w:rsidRPr="00B60B17">
        <w:t>соплатеж</w:t>
      </w:r>
      <w:proofErr w:type="spellEnd"/>
      <w:r w:rsidR="00C87C3F" w:rsidRPr="00B60B17">
        <w:t xml:space="preserve"> потребителей) является отрицательным и значимым. В среднем ценовая эластичность равняется -0.5. Повышение ставки </w:t>
      </w:r>
      <w:proofErr w:type="spellStart"/>
      <w:r w:rsidR="00C87C3F" w:rsidRPr="00B60B17">
        <w:t>соплатежа</w:t>
      </w:r>
      <w:proofErr w:type="spellEnd"/>
      <w:r w:rsidR="00C87C3F" w:rsidRPr="00B60B17">
        <w:t xml:space="preserve"> с 20% до 30% снизило вероятность обращения за медицинской помощью на 1.5%. Средний эффект воздействия повышения ставки </w:t>
      </w:r>
      <w:proofErr w:type="spellStart"/>
      <w:r w:rsidR="00C87C3F" w:rsidRPr="00B60B17">
        <w:t>соплатежа</w:t>
      </w:r>
      <w:proofErr w:type="spellEnd"/>
      <w:r w:rsidR="00C87C3F" w:rsidRPr="00B60B17">
        <w:t xml:space="preserve"> отрицательный и значимый в каждом латентном классе, при этом в большей степени эффект наблюдается в классе потребителей, часто обращающихся за медицинской помощью (около 20% выборки). Результаты оценивания модели могут быть проинтерпретированы как действенность ставки </w:t>
      </w:r>
      <w:proofErr w:type="spellStart"/>
      <w:r w:rsidR="00C87C3F" w:rsidRPr="00B60B17">
        <w:t>соплатежа</w:t>
      </w:r>
      <w:proofErr w:type="spellEnd"/>
      <w:r w:rsidR="00C87C3F" w:rsidRPr="00B60B17">
        <w:t xml:space="preserve"> в качестве инструмента по сдерживанию потребительских расходов на здравоохранение в системе оплаты за каждую медицинскую услугу.</w:t>
      </w:r>
    </w:p>
    <w:p w:rsidR="00227BDF" w:rsidRPr="00B60B17" w:rsidRDefault="00227BDF" w:rsidP="00B60B17">
      <w:pPr>
        <w:spacing w:line="360" w:lineRule="auto"/>
        <w:jc w:val="both"/>
        <w:rPr>
          <w:rFonts w:eastAsiaTheme="minorEastAsia"/>
          <w:lang w:eastAsia="ja-JP"/>
        </w:rPr>
      </w:pPr>
      <w:r w:rsidRPr="00B60B17">
        <w:rPr>
          <w:rFonts w:eastAsiaTheme="minorEastAsia"/>
          <w:lang w:eastAsia="ja-JP"/>
        </w:rPr>
        <w:tab/>
      </w:r>
      <w:r w:rsidR="00600B32" w:rsidRPr="00B60B17">
        <w:rPr>
          <w:rFonts w:eastAsiaTheme="minorEastAsia"/>
          <w:lang w:eastAsia="ja-JP"/>
        </w:rPr>
        <w:t>В статье</w:t>
      </w:r>
      <w:r w:rsidR="00BD3944" w:rsidRPr="00B60B17">
        <w:rPr>
          <w:rFonts w:eastAsiaTheme="minorEastAsia"/>
          <w:lang w:eastAsia="ja-JP"/>
        </w:rPr>
        <w:t xml:space="preserve"> </w:t>
      </w:r>
      <w:proofErr w:type="spellStart"/>
      <w:r w:rsidR="00CE7F3E">
        <w:rPr>
          <w:rFonts w:eastAsiaTheme="minorEastAsia"/>
          <w:lang w:eastAsia="ja-JP"/>
        </w:rPr>
        <w:t>Бесстремянная</w:t>
      </w:r>
      <w:proofErr w:type="spellEnd"/>
      <w:r w:rsidR="00BD3944" w:rsidRPr="00B60B17">
        <w:rPr>
          <w:rFonts w:eastAsiaTheme="minorEastAsia"/>
          <w:lang w:eastAsia="ja-JP"/>
        </w:rPr>
        <w:t xml:space="preserve"> (2019</w:t>
      </w:r>
      <w:r w:rsidR="00CE7F3E">
        <w:rPr>
          <w:rFonts w:eastAsiaTheme="minorEastAsia"/>
          <w:lang w:eastAsia="ja-JP"/>
        </w:rPr>
        <w:t>а</w:t>
      </w:r>
      <w:r w:rsidR="00BD3944" w:rsidRPr="00B60B17">
        <w:rPr>
          <w:rFonts w:eastAsiaTheme="minorEastAsia"/>
          <w:lang w:eastAsia="ja-JP"/>
        </w:rPr>
        <w:t>)</w:t>
      </w:r>
      <w:r w:rsidR="00600B32" w:rsidRPr="00B60B17">
        <w:rPr>
          <w:rFonts w:eastAsiaTheme="minorEastAsia"/>
          <w:lang w:eastAsia="ja-JP"/>
        </w:rPr>
        <w:t xml:space="preserve"> рассматривается один</w:t>
      </w:r>
      <w:r w:rsidR="00BD3944" w:rsidRPr="00B60B17">
        <w:rPr>
          <w:rFonts w:eastAsiaTheme="minorEastAsia"/>
          <w:lang w:eastAsia="ja-JP"/>
        </w:rPr>
        <w:t xml:space="preserve"> из видов неформальных налогов </w:t>
      </w:r>
      <w:r w:rsidR="00206CA6">
        <w:rPr>
          <w:rFonts w:eastAsiaTheme="minorEastAsia"/>
          <w:lang w:eastAsia="ja-JP"/>
        </w:rPr>
        <w:t xml:space="preserve">в Российской </w:t>
      </w:r>
      <w:r w:rsidR="001C46F3">
        <w:rPr>
          <w:rFonts w:eastAsiaTheme="minorEastAsia"/>
          <w:lang w:eastAsia="ja-JP"/>
        </w:rPr>
        <w:t>Федерации</w:t>
      </w:r>
      <w:r w:rsidR="00206CA6">
        <w:rPr>
          <w:rFonts w:eastAsiaTheme="minorEastAsia"/>
          <w:lang w:eastAsia="ja-JP"/>
        </w:rPr>
        <w:t xml:space="preserve"> </w:t>
      </w:r>
      <w:r w:rsidR="00BD3944" w:rsidRPr="00B60B17">
        <w:rPr>
          <w:rFonts w:eastAsiaTheme="minorEastAsia"/>
          <w:lang w:eastAsia="ja-JP"/>
        </w:rPr>
        <w:t xml:space="preserve">- </w:t>
      </w:r>
      <w:r w:rsidR="00600B32" w:rsidRPr="00B60B17">
        <w:rPr>
          <w:rFonts w:eastAsiaTheme="minorEastAsia"/>
          <w:lang w:eastAsia="ja-JP"/>
        </w:rPr>
        <w:t>самообложение граждан для финансирования местных общественных благ.</w:t>
      </w:r>
      <w:r w:rsidR="00F003E5" w:rsidRPr="00B60B17">
        <w:rPr>
          <w:rFonts w:eastAsiaTheme="minorEastAsia"/>
          <w:lang w:eastAsia="ja-JP"/>
        </w:rPr>
        <w:t xml:space="preserve"> Отметим, что д</w:t>
      </w:r>
      <w:r w:rsidR="00600B32" w:rsidRPr="00B60B17">
        <w:rPr>
          <w:rFonts w:eastAsiaTheme="minorEastAsia"/>
          <w:lang w:eastAsia="ja-JP"/>
        </w:rPr>
        <w:t xml:space="preserve">искуссия о самообложении усилилась с утверждением в 2017 г. </w:t>
      </w:r>
      <w:r w:rsidR="001C46F3">
        <w:rPr>
          <w:rFonts w:eastAsiaTheme="minorEastAsia"/>
          <w:lang w:eastAsia="ja-JP"/>
        </w:rPr>
        <w:t>п</w:t>
      </w:r>
      <w:r w:rsidR="00600B32" w:rsidRPr="00B60B17">
        <w:rPr>
          <w:rFonts w:eastAsiaTheme="minorEastAsia"/>
          <w:lang w:eastAsia="ja-JP"/>
        </w:rPr>
        <w:t>оправки</w:t>
      </w:r>
      <w:r w:rsidR="00E06A12" w:rsidRPr="00B60B17">
        <w:rPr>
          <w:rFonts w:eastAsiaTheme="minorEastAsia"/>
          <w:lang w:eastAsia="ja-JP"/>
        </w:rPr>
        <w:t xml:space="preserve"> </w:t>
      </w:r>
      <w:r w:rsidR="00600B32" w:rsidRPr="00B60B17">
        <w:rPr>
          <w:rFonts w:eastAsiaTheme="minorEastAsia"/>
          <w:lang w:eastAsia="ja-JP"/>
        </w:rPr>
        <w:t>к закону о местном самоуправлении, упрощающей процедуру проведения</w:t>
      </w:r>
      <w:r w:rsidR="00F003E5" w:rsidRPr="00B60B17">
        <w:rPr>
          <w:rFonts w:eastAsiaTheme="minorEastAsia"/>
          <w:lang w:eastAsia="ja-JP"/>
        </w:rPr>
        <w:t xml:space="preserve"> </w:t>
      </w:r>
      <w:r w:rsidR="00600B32" w:rsidRPr="00B60B17">
        <w:rPr>
          <w:rFonts w:eastAsiaTheme="minorEastAsia"/>
          <w:lang w:eastAsia="ja-JP"/>
        </w:rPr>
        <w:t>референдума граждан. В статье пров</w:t>
      </w:r>
      <w:r w:rsidR="00F003E5" w:rsidRPr="00B60B17">
        <w:rPr>
          <w:rFonts w:eastAsiaTheme="minorEastAsia"/>
          <w:lang w:eastAsia="ja-JP"/>
        </w:rPr>
        <w:t>еден анализ зарубежной литерату</w:t>
      </w:r>
      <w:r w:rsidR="00600B32" w:rsidRPr="00B60B17">
        <w:rPr>
          <w:rFonts w:eastAsiaTheme="minorEastAsia"/>
          <w:lang w:eastAsia="ja-JP"/>
        </w:rPr>
        <w:t>ры, позволивший выявить институциональные предпосылки и риски этого</w:t>
      </w:r>
      <w:r w:rsidR="00F003E5" w:rsidRPr="00B60B17">
        <w:rPr>
          <w:rFonts w:eastAsiaTheme="minorEastAsia"/>
          <w:lang w:eastAsia="ja-JP"/>
        </w:rPr>
        <w:t xml:space="preserve"> </w:t>
      </w:r>
      <w:r w:rsidR="00600B32" w:rsidRPr="00B60B17">
        <w:rPr>
          <w:rFonts w:eastAsiaTheme="minorEastAsia"/>
          <w:lang w:eastAsia="ja-JP"/>
        </w:rPr>
        <w:t>метода финансирования. В эмпирической части проанализированы данные</w:t>
      </w:r>
      <w:r w:rsidR="00F003E5" w:rsidRPr="00B60B17">
        <w:rPr>
          <w:rFonts w:eastAsiaTheme="minorEastAsia"/>
          <w:lang w:eastAsia="ja-JP"/>
        </w:rPr>
        <w:t xml:space="preserve"> </w:t>
      </w:r>
      <w:r w:rsidR="00600B32" w:rsidRPr="00B60B17">
        <w:rPr>
          <w:rFonts w:eastAsiaTheme="minorEastAsia"/>
          <w:lang w:eastAsia="ja-JP"/>
        </w:rPr>
        <w:t>Росстата и статистика Федерального казна</w:t>
      </w:r>
      <w:r w:rsidR="00F003E5" w:rsidRPr="00B60B17">
        <w:rPr>
          <w:rFonts w:eastAsiaTheme="minorEastAsia"/>
          <w:lang w:eastAsia="ja-JP"/>
        </w:rPr>
        <w:t>чейства</w:t>
      </w:r>
      <w:r w:rsidR="001C46F3">
        <w:rPr>
          <w:rFonts w:eastAsiaTheme="minorEastAsia"/>
          <w:lang w:eastAsia="ja-JP"/>
        </w:rPr>
        <w:t xml:space="preserve"> о расходах и доходах региональных бюджетов</w:t>
      </w:r>
      <w:r w:rsidR="00F003E5" w:rsidRPr="00B60B17">
        <w:rPr>
          <w:rFonts w:eastAsiaTheme="minorEastAsia"/>
          <w:lang w:eastAsia="ja-JP"/>
        </w:rPr>
        <w:t>. Результаты свидетельст</w:t>
      </w:r>
      <w:r w:rsidR="00600B32" w:rsidRPr="00B60B17">
        <w:rPr>
          <w:rFonts w:eastAsiaTheme="minorEastAsia"/>
          <w:lang w:eastAsia="ja-JP"/>
        </w:rPr>
        <w:t xml:space="preserve">вуют о </w:t>
      </w:r>
      <w:r w:rsidR="00600B32" w:rsidRPr="00B60B17">
        <w:rPr>
          <w:rFonts w:eastAsiaTheme="minorEastAsia"/>
          <w:lang w:eastAsia="ja-JP"/>
        </w:rPr>
        <w:lastRenderedPageBreak/>
        <w:t>положительной связи между размером коэффициента регионального</w:t>
      </w:r>
      <w:r w:rsidR="00F003E5" w:rsidRPr="00B60B17">
        <w:rPr>
          <w:rFonts w:eastAsiaTheme="minorEastAsia"/>
          <w:lang w:eastAsia="ja-JP"/>
        </w:rPr>
        <w:t xml:space="preserve"> </w:t>
      </w:r>
      <w:proofErr w:type="spellStart"/>
      <w:r w:rsidR="00600B32" w:rsidRPr="00B60B17">
        <w:rPr>
          <w:rFonts w:eastAsiaTheme="minorEastAsia"/>
          <w:lang w:eastAsia="ja-JP"/>
        </w:rPr>
        <w:t>софинансирования</w:t>
      </w:r>
      <w:proofErr w:type="spellEnd"/>
      <w:r w:rsidR="00600B32" w:rsidRPr="00B60B17">
        <w:rPr>
          <w:rFonts w:eastAsiaTheme="minorEastAsia"/>
          <w:lang w:eastAsia="ja-JP"/>
        </w:rPr>
        <w:t xml:space="preserve"> и ростом доли сред</w:t>
      </w:r>
      <w:r w:rsidR="00F003E5" w:rsidRPr="00B60B17">
        <w:rPr>
          <w:rFonts w:eastAsiaTheme="minorEastAsia"/>
          <w:lang w:eastAsia="ja-JP"/>
        </w:rPr>
        <w:t>ств самообложения в местных бюд</w:t>
      </w:r>
      <w:r w:rsidR="00600B32" w:rsidRPr="00B60B17">
        <w:rPr>
          <w:rFonts w:eastAsiaTheme="minorEastAsia"/>
          <w:lang w:eastAsia="ja-JP"/>
        </w:rPr>
        <w:t>жетах. Поэтому самообложение может восприниматься как сигнал граждан</w:t>
      </w:r>
      <w:r w:rsidR="00F003E5" w:rsidRPr="00B60B17">
        <w:rPr>
          <w:rFonts w:eastAsiaTheme="minorEastAsia"/>
          <w:lang w:eastAsia="ja-JP"/>
        </w:rPr>
        <w:t xml:space="preserve"> </w:t>
      </w:r>
      <w:r w:rsidR="00600B32" w:rsidRPr="00B60B17">
        <w:rPr>
          <w:rFonts w:eastAsiaTheme="minorEastAsia"/>
          <w:lang w:eastAsia="ja-JP"/>
        </w:rPr>
        <w:t>о желаемом улучшении качества муниципальных бла</w:t>
      </w:r>
      <w:r w:rsidR="00F003E5" w:rsidRPr="00B60B17">
        <w:rPr>
          <w:rFonts w:eastAsiaTheme="minorEastAsia"/>
          <w:lang w:eastAsia="ja-JP"/>
        </w:rPr>
        <w:t xml:space="preserve">г. </w:t>
      </w:r>
    </w:p>
    <w:p w:rsidR="00600B32" w:rsidRPr="00B60B17" w:rsidRDefault="00F003E5" w:rsidP="00B60B17">
      <w:pPr>
        <w:spacing w:line="360" w:lineRule="auto"/>
        <w:jc w:val="both"/>
        <w:rPr>
          <w:rFonts w:eastAsiaTheme="minorEastAsia"/>
          <w:lang w:eastAsia="ja-JP"/>
        </w:rPr>
      </w:pPr>
      <w:r w:rsidRPr="00B60B17">
        <w:rPr>
          <w:rFonts w:eastAsiaTheme="minorEastAsia"/>
          <w:lang w:eastAsia="ja-JP"/>
        </w:rPr>
        <w:tab/>
        <w:t xml:space="preserve">В статье </w:t>
      </w:r>
      <w:proofErr w:type="spellStart"/>
      <w:r w:rsidRPr="00B60B17">
        <w:rPr>
          <w:rFonts w:eastAsiaTheme="minorEastAsia"/>
          <w:lang w:eastAsia="ja-JP"/>
        </w:rPr>
        <w:t>оцениваниется</w:t>
      </w:r>
      <w:proofErr w:type="spellEnd"/>
      <w:r w:rsidRPr="00B60B17">
        <w:rPr>
          <w:rFonts w:eastAsiaTheme="minorEastAsia"/>
          <w:lang w:eastAsia="ja-JP"/>
        </w:rPr>
        <w:t xml:space="preserve"> </w:t>
      </w:r>
      <w:r w:rsidR="00600B32" w:rsidRPr="00B60B17">
        <w:rPr>
          <w:rFonts w:eastAsiaTheme="minorEastAsia"/>
          <w:lang w:eastAsia="ja-JP"/>
        </w:rPr>
        <w:t xml:space="preserve">эффект воздействия </w:t>
      </w:r>
      <w:r w:rsidRPr="00B60B17">
        <w:rPr>
          <w:rFonts w:eastAsiaTheme="minorEastAsia"/>
          <w:lang w:eastAsia="ja-JP"/>
        </w:rPr>
        <w:t>реформы, связанной с у</w:t>
      </w:r>
      <w:r w:rsidR="00600B32" w:rsidRPr="00B60B17">
        <w:rPr>
          <w:rFonts w:eastAsiaTheme="minorEastAsia"/>
          <w:lang w:eastAsia="ja-JP"/>
        </w:rPr>
        <w:t>величение</w:t>
      </w:r>
      <w:r w:rsidRPr="00B60B17">
        <w:rPr>
          <w:rFonts w:eastAsiaTheme="minorEastAsia"/>
          <w:lang w:eastAsia="ja-JP"/>
        </w:rPr>
        <w:t>м</w:t>
      </w:r>
      <w:r w:rsidR="00600B32" w:rsidRPr="00B60B17">
        <w:rPr>
          <w:rFonts w:eastAsiaTheme="minorEastAsia"/>
          <w:lang w:eastAsia="ja-JP"/>
        </w:rPr>
        <w:t xml:space="preserve"> коэффициента регионального </w:t>
      </w:r>
      <w:proofErr w:type="spellStart"/>
      <w:r w:rsidR="00600B32" w:rsidRPr="00B60B17">
        <w:rPr>
          <w:rFonts w:eastAsiaTheme="minorEastAsia"/>
          <w:lang w:eastAsia="ja-JP"/>
        </w:rPr>
        <w:t>софинансирования</w:t>
      </w:r>
      <w:proofErr w:type="spellEnd"/>
      <w:r w:rsidR="00600B32" w:rsidRPr="00B60B17">
        <w:rPr>
          <w:rFonts w:eastAsiaTheme="minorEastAsia"/>
          <w:lang w:eastAsia="ja-JP"/>
        </w:rPr>
        <w:t xml:space="preserve"> проектов</w:t>
      </w:r>
      <w:r w:rsidR="00206CA6">
        <w:rPr>
          <w:rFonts w:eastAsiaTheme="minorEastAsia"/>
          <w:lang w:eastAsia="ja-JP"/>
        </w:rPr>
        <w:t xml:space="preserve"> по предоставлению местных общественных благ</w:t>
      </w:r>
      <w:r w:rsidRPr="00B60B17">
        <w:rPr>
          <w:rFonts w:eastAsiaTheme="minorEastAsia"/>
          <w:lang w:eastAsia="ja-JP"/>
        </w:rPr>
        <w:t>. Для этого эффект такой реформы</w:t>
      </w:r>
      <w:r w:rsidR="00206CA6">
        <w:rPr>
          <w:rFonts w:eastAsiaTheme="minorEastAsia"/>
          <w:lang w:eastAsia="ja-JP"/>
        </w:rPr>
        <w:t>, осуществленной</w:t>
      </w:r>
      <w:r w:rsidRPr="00B60B17">
        <w:rPr>
          <w:rFonts w:eastAsiaTheme="minorEastAsia"/>
          <w:lang w:eastAsia="ja-JP"/>
        </w:rPr>
        <w:t xml:space="preserve"> в Пермском </w:t>
      </w:r>
      <w:r w:rsidR="00600B32" w:rsidRPr="00B60B17">
        <w:rPr>
          <w:rFonts w:eastAsiaTheme="minorEastAsia"/>
          <w:lang w:eastAsia="ja-JP"/>
        </w:rPr>
        <w:t xml:space="preserve">крае, </w:t>
      </w:r>
      <w:r w:rsidRPr="00B60B17">
        <w:rPr>
          <w:rFonts w:eastAsiaTheme="minorEastAsia"/>
          <w:lang w:eastAsia="ja-JP"/>
        </w:rPr>
        <w:t xml:space="preserve">экстраполируется </w:t>
      </w:r>
      <w:r w:rsidR="00600B32" w:rsidRPr="00B60B17">
        <w:rPr>
          <w:rFonts w:eastAsiaTheme="minorEastAsia"/>
          <w:lang w:eastAsia="ja-JP"/>
        </w:rPr>
        <w:t>для оценивания возможного экономического эффекта</w:t>
      </w:r>
      <w:r w:rsidRPr="00B60B17">
        <w:rPr>
          <w:rFonts w:eastAsiaTheme="minorEastAsia"/>
          <w:lang w:eastAsia="ja-JP"/>
        </w:rPr>
        <w:t xml:space="preserve"> </w:t>
      </w:r>
      <w:r w:rsidR="00600B32" w:rsidRPr="00B60B17">
        <w:rPr>
          <w:rFonts w:eastAsiaTheme="minorEastAsia"/>
          <w:lang w:eastAsia="ja-JP"/>
        </w:rPr>
        <w:t>для других регионов. Ограничения в доступности данных о самообложении (строка присутствует в статистике Федерального казначейства об исполнении бюджетов</w:t>
      </w:r>
      <w:r w:rsidR="00E06A12" w:rsidRPr="00B60B17">
        <w:rPr>
          <w:rFonts w:eastAsiaTheme="minorEastAsia"/>
          <w:lang w:eastAsia="ja-JP"/>
        </w:rPr>
        <w:t xml:space="preserve"> </w:t>
      </w:r>
      <w:r w:rsidR="00600B32" w:rsidRPr="00B60B17">
        <w:rPr>
          <w:rFonts w:eastAsiaTheme="minorEastAsia"/>
          <w:lang w:eastAsia="ja-JP"/>
        </w:rPr>
        <w:t>лишь с 2013 г.), а также незначительное количество регионов с ненулевой долей</w:t>
      </w:r>
      <w:r w:rsidR="00E06A12" w:rsidRPr="00B60B17">
        <w:rPr>
          <w:rFonts w:eastAsiaTheme="minorEastAsia"/>
          <w:lang w:eastAsia="ja-JP"/>
        </w:rPr>
        <w:t xml:space="preserve"> </w:t>
      </w:r>
      <w:r w:rsidR="00600B32" w:rsidRPr="00B60B17">
        <w:rPr>
          <w:rFonts w:eastAsiaTheme="minorEastAsia"/>
          <w:lang w:eastAsia="ja-JP"/>
        </w:rPr>
        <w:t>средств самообложения в доходах бюджетов не позволили провести формальный</w:t>
      </w:r>
      <w:r w:rsidR="00E06A12" w:rsidRPr="00B60B17">
        <w:rPr>
          <w:rFonts w:eastAsiaTheme="minorEastAsia"/>
          <w:lang w:eastAsia="ja-JP"/>
        </w:rPr>
        <w:t xml:space="preserve"> </w:t>
      </w:r>
      <w:r w:rsidR="00600B32" w:rsidRPr="00B60B17">
        <w:rPr>
          <w:rFonts w:eastAsiaTheme="minorEastAsia"/>
          <w:lang w:eastAsia="ja-JP"/>
        </w:rPr>
        <w:t>регрессионный анализ и оценить средний эффект воздействия и его стандартную</w:t>
      </w:r>
      <w:r w:rsidR="00E06A12" w:rsidRPr="00B60B17">
        <w:rPr>
          <w:rFonts w:eastAsiaTheme="minorEastAsia"/>
          <w:lang w:eastAsia="ja-JP"/>
        </w:rPr>
        <w:t xml:space="preserve"> </w:t>
      </w:r>
      <w:r w:rsidR="00600B32" w:rsidRPr="00B60B17">
        <w:rPr>
          <w:rFonts w:eastAsiaTheme="minorEastAsia"/>
          <w:lang w:eastAsia="ja-JP"/>
        </w:rPr>
        <w:t xml:space="preserve">ошибку в рамках анализа разностей. Однако </w:t>
      </w:r>
      <w:r w:rsidRPr="00B60B17">
        <w:rPr>
          <w:rFonts w:eastAsiaTheme="minorEastAsia"/>
          <w:lang w:eastAsia="ja-JP"/>
        </w:rPr>
        <w:t xml:space="preserve">в работе </w:t>
      </w:r>
      <w:r w:rsidR="00600B32" w:rsidRPr="00B60B17">
        <w:rPr>
          <w:rFonts w:eastAsiaTheme="minorEastAsia"/>
          <w:lang w:eastAsia="ja-JP"/>
        </w:rPr>
        <w:t>использова</w:t>
      </w:r>
      <w:r w:rsidRPr="00B60B17">
        <w:rPr>
          <w:rFonts w:eastAsiaTheme="minorEastAsia"/>
          <w:lang w:eastAsia="ja-JP"/>
        </w:rPr>
        <w:t>ны</w:t>
      </w:r>
      <w:r w:rsidR="00600B32" w:rsidRPr="00B60B17">
        <w:rPr>
          <w:rFonts w:eastAsiaTheme="minorEastAsia"/>
          <w:lang w:eastAsia="ja-JP"/>
        </w:rPr>
        <w:t xml:space="preserve"> методы</w:t>
      </w:r>
      <w:r w:rsidR="00E06A12" w:rsidRPr="00B60B17">
        <w:rPr>
          <w:rFonts w:eastAsiaTheme="minorEastAsia"/>
          <w:lang w:eastAsia="ja-JP"/>
        </w:rPr>
        <w:t xml:space="preserve"> </w:t>
      </w:r>
      <w:r w:rsidR="00600B32" w:rsidRPr="00B60B17">
        <w:rPr>
          <w:rFonts w:eastAsiaTheme="minorEastAsia"/>
          <w:lang w:eastAsia="ja-JP"/>
        </w:rPr>
        <w:t>статистического анализа и</w:t>
      </w:r>
      <w:r w:rsidRPr="00B60B17">
        <w:rPr>
          <w:rFonts w:eastAsiaTheme="minorEastAsia"/>
          <w:lang w:eastAsia="ja-JP"/>
        </w:rPr>
        <w:t xml:space="preserve"> - в рамках </w:t>
      </w:r>
      <w:r w:rsidR="00600B32" w:rsidRPr="00B60B17">
        <w:rPr>
          <w:rFonts w:eastAsiaTheme="minorEastAsia"/>
          <w:lang w:eastAsia="ja-JP"/>
        </w:rPr>
        <w:t>предположени</w:t>
      </w:r>
      <w:r w:rsidRPr="00B60B17">
        <w:rPr>
          <w:rFonts w:eastAsiaTheme="minorEastAsia"/>
          <w:lang w:eastAsia="ja-JP"/>
        </w:rPr>
        <w:t xml:space="preserve">я о </w:t>
      </w:r>
      <w:r w:rsidR="00600B32" w:rsidRPr="00B60B17">
        <w:rPr>
          <w:rFonts w:eastAsiaTheme="minorEastAsia"/>
          <w:lang w:eastAsia="ja-JP"/>
        </w:rPr>
        <w:t>постоянной эластичностью рост</w:t>
      </w:r>
      <w:r w:rsidRPr="00B60B17">
        <w:rPr>
          <w:rFonts w:eastAsiaTheme="minorEastAsia"/>
          <w:lang w:eastAsia="ja-JP"/>
        </w:rPr>
        <w:t>а</w:t>
      </w:r>
      <w:r w:rsidR="00600B32" w:rsidRPr="00B60B17">
        <w:rPr>
          <w:rFonts w:eastAsiaTheme="minorEastAsia"/>
          <w:lang w:eastAsia="ja-JP"/>
        </w:rPr>
        <w:t xml:space="preserve"> доли средств самообложения в доходах региона</w:t>
      </w:r>
      <w:r w:rsidRPr="00B60B17">
        <w:rPr>
          <w:rFonts w:eastAsiaTheme="minorEastAsia"/>
          <w:lang w:eastAsia="ja-JP"/>
        </w:rPr>
        <w:t xml:space="preserve"> -  </w:t>
      </w:r>
      <w:r w:rsidR="001C46F3" w:rsidRPr="00B60B17">
        <w:rPr>
          <w:rFonts w:eastAsiaTheme="minorEastAsia"/>
          <w:lang w:eastAsia="ja-JP"/>
        </w:rPr>
        <w:t>оценена</w:t>
      </w:r>
      <w:r w:rsidRPr="00B60B17">
        <w:rPr>
          <w:rFonts w:eastAsiaTheme="minorEastAsia"/>
          <w:lang w:eastAsia="ja-JP"/>
        </w:rPr>
        <w:t xml:space="preserve"> возможная</w:t>
      </w:r>
      <w:r w:rsidR="00600B32" w:rsidRPr="00B60B17">
        <w:rPr>
          <w:rFonts w:eastAsiaTheme="minorEastAsia"/>
          <w:lang w:eastAsia="ja-JP"/>
        </w:rPr>
        <w:t xml:space="preserve"> величин</w:t>
      </w:r>
      <w:r w:rsidRPr="00B60B17">
        <w:rPr>
          <w:rFonts w:eastAsiaTheme="minorEastAsia"/>
          <w:lang w:eastAsia="ja-JP"/>
        </w:rPr>
        <w:t>а</w:t>
      </w:r>
      <w:r w:rsidR="00600B32" w:rsidRPr="00B60B17">
        <w:rPr>
          <w:rFonts w:eastAsiaTheme="minorEastAsia"/>
          <w:lang w:eastAsia="ja-JP"/>
        </w:rPr>
        <w:t xml:space="preserve"> эффекта</w:t>
      </w:r>
      <w:r w:rsidRPr="00B60B17">
        <w:rPr>
          <w:rFonts w:eastAsiaTheme="minorEastAsia"/>
          <w:lang w:eastAsia="ja-JP"/>
        </w:rPr>
        <w:t xml:space="preserve"> для регионов РФ</w:t>
      </w:r>
      <w:r w:rsidR="00600B32" w:rsidRPr="00B60B17">
        <w:rPr>
          <w:rFonts w:eastAsiaTheme="minorEastAsia"/>
          <w:lang w:eastAsia="ja-JP"/>
        </w:rPr>
        <w:t xml:space="preserve">. </w:t>
      </w:r>
    </w:p>
    <w:p w:rsidR="0060733F" w:rsidRPr="00B60B17" w:rsidRDefault="0060733F" w:rsidP="00B60B17">
      <w:pPr>
        <w:spacing w:line="360" w:lineRule="auto"/>
        <w:jc w:val="both"/>
        <w:rPr>
          <w:b/>
        </w:rPr>
      </w:pPr>
      <w:r w:rsidRPr="00B60B17">
        <w:tab/>
      </w:r>
      <w:r w:rsidR="00C87C3F" w:rsidRPr="00B60B17">
        <w:rPr>
          <w:b/>
        </w:rPr>
        <w:t xml:space="preserve">5. </w:t>
      </w:r>
      <w:r w:rsidRPr="00B60B17">
        <w:rPr>
          <w:b/>
        </w:rPr>
        <w:t>Динамические панели</w:t>
      </w:r>
    </w:p>
    <w:p w:rsidR="006C0EDB" w:rsidRPr="00B60B17" w:rsidRDefault="006C0EDB" w:rsidP="00B60B17">
      <w:pPr>
        <w:spacing w:line="360" w:lineRule="auto"/>
        <w:jc w:val="both"/>
        <w:rPr>
          <w:rFonts w:eastAsiaTheme="minorEastAsia"/>
          <w:lang w:eastAsia="ja-JP"/>
        </w:rPr>
      </w:pPr>
      <w:r w:rsidRPr="00B60B17">
        <w:rPr>
          <w:b/>
        </w:rPr>
        <w:tab/>
      </w:r>
      <w:r w:rsidR="00651D3D" w:rsidRPr="007F0043">
        <w:t xml:space="preserve">Применение инструментария связано с </w:t>
      </w:r>
      <w:r w:rsidRPr="007F0043">
        <w:t>к</w:t>
      </w:r>
      <w:r w:rsidRPr="00B60B17">
        <w:t>орреляци</w:t>
      </w:r>
      <w:r w:rsidR="00651D3D" w:rsidRPr="00B60B17">
        <w:t>ей</w:t>
      </w:r>
      <w:r w:rsidRPr="00B60B17">
        <w:t xml:space="preserve"> между ошибками в регрессии в разные периоды времени. </w:t>
      </w:r>
      <w:r w:rsidR="00651D3D" w:rsidRPr="00B60B17">
        <w:t xml:space="preserve">Причина может быть связана с </w:t>
      </w:r>
      <w:proofErr w:type="spellStart"/>
      <w:r w:rsidR="00651D3D" w:rsidRPr="00B60B17">
        <w:t>межвременной</w:t>
      </w:r>
      <w:proofErr w:type="spellEnd"/>
      <w:r w:rsidR="00651D3D" w:rsidRPr="00B60B17">
        <w:t xml:space="preserve"> оптимизационной задачей производителя, наличием ошибки измерения в связи с использова</w:t>
      </w:r>
      <w:r w:rsidR="007F0043">
        <w:t>нием неточно измеренного качест</w:t>
      </w:r>
      <w:r w:rsidR="00651D3D" w:rsidRPr="00B60B17">
        <w:t>ва услуги (</w:t>
      </w:r>
      <w:r w:rsidR="00651D3D" w:rsidRPr="00B60B17">
        <w:rPr>
          <w:rFonts w:eastAsiaTheme="minorEastAsia"/>
          <w:lang w:val="en-US" w:eastAsia="ja-JP"/>
        </w:rPr>
        <w:t>Besstremyannaya</w:t>
      </w:r>
      <w:r w:rsidR="00651D3D" w:rsidRPr="00B60B17">
        <w:rPr>
          <w:rFonts w:eastAsiaTheme="minorEastAsia"/>
          <w:lang w:eastAsia="ja-JP"/>
        </w:rPr>
        <w:t xml:space="preserve"> </w:t>
      </w:r>
      <w:r w:rsidR="00651D3D" w:rsidRPr="00B60B17">
        <w:rPr>
          <w:rFonts w:eastAsiaTheme="minorEastAsia"/>
          <w:lang w:val="en-US" w:eastAsia="ja-JP"/>
        </w:rPr>
        <w:t>and</w:t>
      </w:r>
      <w:r w:rsidR="00651D3D" w:rsidRPr="00B60B17">
        <w:rPr>
          <w:rFonts w:eastAsiaTheme="minorEastAsia"/>
          <w:lang w:eastAsia="ja-JP"/>
        </w:rPr>
        <w:t xml:space="preserve"> </w:t>
      </w:r>
      <w:r w:rsidR="00651D3D" w:rsidRPr="00B60B17">
        <w:rPr>
          <w:rFonts w:eastAsiaTheme="minorEastAsia"/>
          <w:lang w:val="en-US" w:eastAsia="ja-JP"/>
        </w:rPr>
        <w:t>Golovan</w:t>
      </w:r>
      <w:r w:rsidR="00651D3D" w:rsidRPr="00B60B17">
        <w:rPr>
          <w:rFonts w:eastAsiaTheme="minorEastAsia"/>
          <w:lang w:eastAsia="ja-JP"/>
        </w:rPr>
        <w:t xml:space="preserve"> 2019</w:t>
      </w:r>
      <w:r w:rsidR="007F0043">
        <w:rPr>
          <w:rFonts w:eastAsiaTheme="minorEastAsia"/>
          <w:lang w:val="en-US" w:eastAsia="ja-JP"/>
        </w:rPr>
        <w:t>b</w:t>
      </w:r>
      <w:r w:rsidR="00651D3D" w:rsidRPr="00B60B17">
        <w:t>), а также м</w:t>
      </w:r>
      <w:r w:rsidRPr="00B60B17">
        <w:t xml:space="preserve">ожет быть проявлением  </w:t>
      </w:r>
      <w:proofErr w:type="spellStart"/>
      <w:r w:rsidRPr="00B60B17">
        <w:rPr>
          <w:rFonts w:eastAsiaTheme="minorEastAsia"/>
          <w:lang w:eastAsia="ja-JP"/>
        </w:rPr>
        <w:t>habit</w:t>
      </w:r>
      <w:proofErr w:type="spellEnd"/>
      <w:r w:rsidRPr="00B60B17">
        <w:rPr>
          <w:rFonts w:eastAsiaTheme="minorEastAsia"/>
          <w:lang w:eastAsia="ja-JP"/>
        </w:rPr>
        <w:t xml:space="preserve"> </w:t>
      </w:r>
      <w:proofErr w:type="spellStart"/>
      <w:r w:rsidRPr="00B60B17">
        <w:rPr>
          <w:rFonts w:eastAsiaTheme="minorEastAsia"/>
          <w:lang w:eastAsia="ja-JP"/>
        </w:rPr>
        <w:t>formation</w:t>
      </w:r>
      <w:proofErr w:type="spellEnd"/>
      <w:r w:rsidRPr="00B60B17">
        <w:rPr>
          <w:rFonts w:eastAsiaTheme="minorEastAsia"/>
          <w:lang w:eastAsia="ja-JP"/>
        </w:rPr>
        <w:t xml:space="preserve"> – взаимосвязи поведения агента в соседние периоды времени (например, в Японии </w:t>
      </w:r>
      <w:r w:rsidR="001C46F3">
        <w:rPr>
          <w:rFonts w:eastAsiaTheme="minorEastAsia"/>
          <w:lang w:eastAsia="ja-JP"/>
        </w:rPr>
        <w:t>сложились специфические</w:t>
      </w:r>
      <w:r w:rsidRPr="00B60B17">
        <w:rPr>
          <w:rFonts w:eastAsiaTheme="minorEastAsia"/>
          <w:lang w:eastAsia="ja-JP"/>
        </w:rPr>
        <w:t xml:space="preserve"> технологии лечения в каждой больнице, связанные с приверженностью стандартам того медицинского вуза, откуда происходит преимущественный приток врачей в больницу</w:t>
      </w:r>
      <w:r w:rsidR="00651D3D" w:rsidRPr="00B60B17">
        <w:rPr>
          <w:rFonts w:eastAsiaTheme="minorEastAsia"/>
          <w:lang w:eastAsia="ja-JP"/>
        </w:rPr>
        <w:t xml:space="preserve">, </w:t>
      </w:r>
      <w:r w:rsidR="001C46F3">
        <w:rPr>
          <w:rFonts w:eastAsiaTheme="minorEastAsia"/>
          <w:lang w:eastAsia="ja-JP"/>
        </w:rPr>
        <w:t xml:space="preserve">см. </w:t>
      </w:r>
      <w:r w:rsidR="00651D3D" w:rsidRPr="00B60B17">
        <w:rPr>
          <w:rFonts w:eastAsiaTheme="minorEastAsia"/>
          <w:lang w:val="en-US" w:eastAsia="ja-JP"/>
        </w:rPr>
        <w:t>Besstremyannaya</w:t>
      </w:r>
      <w:r w:rsidR="00651D3D" w:rsidRPr="00B60B17">
        <w:rPr>
          <w:rFonts w:eastAsiaTheme="minorEastAsia"/>
          <w:lang w:eastAsia="ja-JP"/>
        </w:rPr>
        <w:t>, 2016</w:t>
      </w:r>
      <w:r w:rsidRPr="00B60B17">
        <w:rPr>
          <w:rFonts w:eastAsiaTheme="minorEastAsia"/>
          <w:lang w:eastAsia="ja-JP"/>
        </w:rPr>
        <w:t>).</w:t>
      </w:r>
    </w:p>
    <w:p w:rsidR="00E06A12" w:rsidRPr="00B60B17" w:rsidRDefault="006C0EDB" w:rsidP="00B60B17">
      <w:pPr>
        <w:spacing w:line="360" w:lineRule="auto"/>
        <w:jc w:val="both"/>
      </w:pPr>
      <w:r w:rsidRPr="00B60B17">
        <w:rPr>
          <w:rFonts w:eastAsiaTheme="minorEastAsia"/>
          <w:lang w:eastAsia="ja-JP"/>
        </w:rPr>
        <w:tab/>
        <w:t xml:space="preserve">В рамках динамической панели можно осуществить </w:t>
      </w:r>
      <w:r w:rsidRPr="00B60B17">
        <w:t xml:space="preserve">оценку эффекта воздействия для разных групп наблюдений в </w:t>
      </w:r>
      <w:r w:rsidR="0023491C" w:rsidRPr="00B60B17">
        <w:t>зависимости</w:t>
      </w:r>
      <w:r w:rsidRPr="00B60B17">
        <w:t xml:space="preserve"> от значений (</w:t>
      </w:r>
      <w:proofErr w:type="spellStart"/>
      <w:r w:rsidRPr="00B60B17">
        <w:t>лагированной</w:t>
      </w:r>
      <w:proofErr w:type="spellEnd"/>
      <w:r w:rsidRPr="00B60B17">
        <w:t>) зависимой переменной.</w:t>
      </w:r>
      <w:r w:rsidR="00E06A12" w:rsidRPr="00B60B17">
        <w:t xml:space="preserve"> </w:t>
      </w:r>
    </w:p>
    <w:p w:rsidR="00C87C3F" w:rsidRPr="00B60B17" w:rsidRDefault="00B11F52" w:rsidP="00B60B17">
      <w:pPr>
        <w:spacing w:line="360" w:lineRule="auto"/>
        <w:ind w:firstLine="708"/>
        <w:jc w:val="both"/>
        <w:rPr>
          <w:lang w:eastAsia="ja-JP"/>
        </w:rPr>
      </w:pPr>
      <w:r w:rsidRPr="00B60B17">
        <w:t xml:space="preserve"> </w:t>
      </w:r>
      <w:r w:rsidR="005D3E4F" w:rsidRPr="00B60B17">
        <w:t>В</w:t>
      </w:r>
      <w:r w:rsidR="00E06A12" w:rsidRPr="00B60B17">
        <w:t xml:space="preserve"> работе </w:t>
      </w:r>
      <w:r w:rsidR="00E06A12" w:rsidRPr="00B60B17">
        <w:rPr>
          <w:rFonts w:eastAsiaTheme="minorEastAsia"/>
          <w:lang w:val="en-US" w:eastAsia="ja-JP"/>
        </w:rPr>
        <w:t>Besstremyannaya</w:t>
      </w:r>
      <w:r w:rsidR="00E06A12" w:rsidRPr="00B60B17">
        <w:rPr>
          <w:rFonts w:eastAsiaTheme="minorEastAsia"/>
          <w:lang w:eastAsia="ja-JP"/>
        </w:rPr>
        <w:t xml:space="preserve"> (2016) в</w:t>
      </w:r>
      <w:r w:rsidR="008F0A60" w:rsidRPr="00B60B17">
        <w:t xml:space="preserve">первые </w:t>
      </w:r>
      <w:r w:rsidR="00651D3D" w:rsidRPr="00B60B17">
        <w:t xml:space="preserve">использована </w:t>
      </w:r>
      <w:proofErr w:type="spellStart"/>
      <w:r w:rsidR="008F0A60" w:rsidRPr="00B60B17">
        <w:t>авторегрессионная</w:t>
      </w:r>
      <w:proofErr w:type="spellEnd"/>
      <w:r w:rsidR="008F0A60" w:rsidRPr="00B60B17">
        <w:t xml:space="preserve"> модел</w:t>
      </w:r>
      <w:r w:rsidR="00651D3D" w:rsidRPr="00B60B17">
        <w:t>ь</w:t>
      </w:r>
      <w:r w:rsidR="008F0A60" w:rsidRPr="00B60B17">
        <w:t xml:space="preserve"> для </w:t>
      </w:r>
      <w:r w:rsidR="00651D3D" w:rsidRPr="00B60B17">
        <w:t xml:space="preserve">анализа </w:t>
      </w:r>
      <w:r w:rsidR="008F0A60" w:rsidRPr="00B60B17">
        <w:t>панельных данных,</w:t>
      </w:r>
      <w:r w:rsidR="005D3E4F" w:rsidRPr="00B60B17">
        <w:t xml:space="preserve"> связанных </w:t>
      </w:r>
      <w:r w:rsidR="00206CA6">
        <w:t>с</w:t>
      </w:r>
      <w:r w:rsidR="005D3E4F" w:rsidRPr="00B60B17">
        <w:t xml:space="preserve"> показателями эффективности и качества</w:t>
      </w:r>
      <w:r w:rsidR="004F2CBC" w:rsidRPr="00B60B17">
        <w:t xml:space="preserve"> </w:t>
      </w:r>
      <w:r w:rsidR="00651D3D" w:rsidRPr="00B60B17">
        <w:t xml:space="preserve">производителей </w:t>
      </w:r>
      <w:r w:rsidR="004F2CBC" w:rsidRPr="00B60B17">
        <w:t>в экономике здравоохранения</w:t>
      </w:r>
      <w:r w:rsidR="00F24E2F" w:rsidRPr="00B60B17">
        <w:t xml:space="preserve">. </w:t>
      </w:r>
      <w:r w:rsidR="00E06A12" w:rsidRPr="00B60B17">
        <w:t>Модель о</w:t>
      </w:r>
      <w:r w:rsidR="008F0A60" w:rsidRPr="00B60B17">
        <w:t>писыва</w:t>
      </w:r>
      <w:r w:rsidR="00E06A12" w:rsidRPr="00B60B17">
        <w:t>ет</w:t>
      </w:r>
      <w:r w:rsidR="008F0A60" w:rsidRPr="00B60B17">
        <w:t xml:space="preserve"> динамику средней продолжительности госпитализации для групп агрегированных </w:t>
      </w:r>
      <w:r w:rsidR="001C46F3">
        <w:t>классов диагнозов</w:t>
      </w:r>
      <w:r w:rsidR="00E06A12" w:rsidRPr="00B60B17">
        <w:rPr>
          <w:rStyle w:val="FootnoteReference"/>
        </w:rPr>
        <w:footnoteReference w:id="5"/>
      </w:r>
      <w:r w:rsidR="00522FEE" w:rsidRPr="00B60B17">
        <w:t xml:space="preserve"> и </w:t>
      </w:r>
      <w:r w:rsidR="007C470C" w:rsidRPr="00B60B17">
        <w:t xml:space="preserve">оценивается на данных около 700 японских стационаров в 2007-2012 годы. </w:t>
      </w:r>
      <w:r w:rsidR="00522FEE" w:rsidRPr="00B60B17">
        <w:t xml:space="preserve">Целью работы является выявление гетерогенного </w:t>
      </w:r>
      <w:r w:rsidR="00F108AA" w:rsidRPr="00B60B17">
        <w:t>влияние</w:t>
      </w:r>
      <w:r w:rsidR="008F0A60" w:rsidRPr="00B60B17">
        <w:t xml:space="preserve"> реформы финансирования стационаров на среднюю продолжительность госпитализации и частоту запланированной повторной </w:t>
      </w:r>
      <w:r w:rsidR="008F0A60" w:rsidRPr="00B60B17">
        <w:lastRenderedPageBreak/>
        <w:t>госпитализации на ранних сроках.</w:t>
      </w:r>
      <w:r w:rsidR="00522FEE" w:rsidRPr="00B60B17">
        <w:t xml:space="preserve">  Найдено </w:t>
      </w:r>
      <w:r w:rsidR="00C87C3F" w:rsidRPr="00B60B17">
        <w:rPr>
          <w:lang w:eastAsia="ja-JP"/>
        </w:rPr>
        <w:t xml:space="preserve">увеличение длительности госпитализации в стационарах из 0-25 процентных точек, согласно дореформенному значению длительности госпитализации. Иными словами, число дней лечения увеличивается в стационарах, где </w:t>
      </w:r>
      <w:proofErr w:type="gramStart"/>
      <w:r w:rsidR="00C87C3F" w:rsidRPr="00B60B17">
        <w:rPr>
          <w:lang w:eastAsia="ja-JP"/>
        </w:rPr>
        <w:t>этот  показатель</w:t>
      </w:r>
      <w:proofErr w:type="gramEnd"/>
      <w:r w:rsidR="00C87C3F" w:rsidRPr="00B60B17">
        <w:rPr>
          <w:lang w:eastAsia="ja-JP"/>
        </w:rPr>
        <w:t xml:space="preserve"> до реформы был минимальным, то есть эффект реформы </w:t>
      </w:r>
      <w:r w:rsidR="001C46F3">
        <w:rPr>
          <w:lang w:eastAsia="ja-JP"/>
        </w:rPr>
        <w:t xml:space="preserve">здесь </w:t>
      </w:r>
      <w:r w:rsidR="00C87C3F" w:rsidRPr="00B60B17">
        <w:rPr>
          <w:lang w:eastAsia="ja-JP"/>
        </w:rPr>
        <w:t>является отрицательным. В то же время, реформа оказывает положительное влияние на длительность госпитализации в стационарах из 51</w:t>
      </w:r>
      <w:r w:rsidR="00C87C3F" w:rsidRPr="00B60B17">
        <w:t>-</w:t>
      </w:r>
      <w:r w:rsidR="00C87C3F" w:rsidRPr="00B60B17">
        <w:rPr>
          <w:lang w:eastAsia="ja-JP"/>
        </w:rPr>
        <w:t>100 процентных точек, так как после реформы длительность госпитализации сокращается</w:t>
      </w:r>
      <w:r w:rsidR="00C87C3F" w:rsidRPr="00B60B17">
        <w:t>. Более того, чем больше значение процентной точки, тем выше сокращение средней длительности госпитализации.</w:t>
      </w:r>
      <w:r w:rsidR="00522FEE" w:rsidRPr="00B60B17">
        <w:t xml:space="preserve"> </w:t>
      </w:r>
      <w:r w:rsidR="00C87C3F" w:rsidRPr="00B60B17">
        <w:rPr>
          <w:lang w:eastAsia="ja-JP"/>
        </w:rPr>
        <w:t>Такая зависимость может объясняться ступенчатой структурой регрессивного тарифа</w:t>
      </w:r>
      <w:r w:rsidR="00522FEE" w:rsidRPr="00B60B17">
        <w:rPr>
          <w:lang w:eastAsia="ja-JP"/>
        </w:rPr>
        <w:t xml:space="preserve"> в Японии</w:t>
      </w:r>
      <w:r w:rsidR="00C87C3F" w:rsidRPr="00B60B17">
        <w:rPr>
          <w:lang w:eastAsia="ja-JP"/>
        </w:rPr>
        <w:t xml:space="preserve">. Результаты анализа о возможных отрицательных эффектах подобных тарифов, связанных с длительностью госпитализации, актуальны для обобщений на </w:t>
      </w:r>
      <w:proofErr w:type="spellStart"/>
      <w:r w:rsidR="00C87C3F" w:rsidRPr="00B60B17">
        <w:rPr>
          <w:lang w:eastAsia="ja-JP"/>
        </w:rPr>
        <w:t>межстрановом</w:t>
      </w:r>
      <w:proofErr w:type="spellEnd"/>
      <w:r w:rsidR="00C87C3F" w:rsidRPr="00B60B17">
        <w:rPr>
          <w:lang w:eastAsia="ja-JP"/>
        </w:rPr>
        <w:t xml:space="preserve"> уровне</w:t>
      </w:r>
      <w:r w:rsidR="003075AD" w:rsidRPr="00B60B17">
        <w:rPr>
          <w:lang w:eastAsia="ja-JP"/>
        </w:rPr>
        <w:t xml:space="preserve"> (Германия, Япония, США, Бельгия)</w:t>
      </w:r>
      <w:r w:rsidR="00C87C3F" w:rsidRPr="00B60B17">
        <w:rPr>
          <w:lang w:eastAsia="ja-JP"/>
        </w:rPr>
        <w:t xml:space="preserve"> и на уровне </w:t>
      </w:r>
      <w:r w:rsidR="001C46F3">
        <w:rPr>
          <w:lang w:eastAsia="ja-JP"/>
        </w:rPr>
        <w:t>не только агрегированных, но и отдельных</w:t>
      </w:r>
      <w:r w:rsidR="00C87C3F" w:rsidRPr="00B60B17">
        <w:rPr>
          <w:lang w:eastAsia="ja-JP"/>
        </w:rPr>
        <w:t xml:space="preserve"> медицинских диагнозов. </w:t>
      </w:r>
    </w:p>
    <w:p w:rsidR="00600B32" w:rsidRPr="00B60B17" w:rsidRDefault="00E06A12" w:rsidP="00B60B17">
      <w:pPr>
        <w:spacing w:line="360" w:lineRule="auto"/>
        <w:ind w:firstLine="708"/>
        <w:jc w:val="both"/>
      </w:pPr>
      <w:r w:rsidRPr="00B60B17">
        <w:t xml:space="preserve">В </w:t>
      </w:r>
      <w:r w:rsidR="001C46F3">
        <w:t xml:space="preserve">теоретико-эмпирической </w:t>
      </w:r>
      <w:r w:rsidRPr="00B60B17">
        <w:t xml:space="preserve">работе </w:t>
      </w:r>
      <w:r w:rsidR="004F2CBC" w:rsidRPr="00B60B17">
        <w:rPr>
          <w:lang w:val="en-US"/>
        </w:rPr>
        <w:t>Besstremyannaya</w:t>
      </w:r>
      <w:r w:rsidR="004F2CBC" w:rsidRPr="00B60B17">
        <w:t xml:space="preserve"> </w:t>
      </w:r>
      <w:r w:rsidR="004F2CBC" w:rsidRPr="00B60B17">
        <w:rPr>
          <w:lang w:val="en-US"/>
        </w:rPr>
        <w:t>and</w:t>
      </w:r>
      <w:r w:rsidR="004F2CBC" w:rsidRPr="00B60B17">
        <w:t xml:space="preserve"> </w:t>
      </w:r>
      <w:r w:rsidR="004F2CBC" w:rsidRPr="00B60B17">
        <w:rPr>
          <w:lang w:val="en-US"/>
        </w:rPr>
        <w:t>Golovan</w:t>
      </w:r>
      <w:r w:rsidR="004F2CBC" w:rsidRPr="00B60B17">
        <w:t xml:space="preserve"> (2019</w:t>
      </w:r>
      <w:r w:rsidR="007F0043">
        <w:rPr>
          <w:lang w:val="en-US"/>
        </w:rPr>
        <w:t>b</w:t>
      </w:r>
      <w:r w:rsidR="004F2CBC" w:rsidRPr="00B60B17">
        <w:t>)</w:t>
      </w:r>
      <w:r w:rsidRPr="00B60B17">
        <w:t xml:space="preserve"> с </w:t>
      </w:r>
      <w:r w:rsidR="003A48CB" w:rsidRPr="00B60B17">
        <w:t>помощью динамических</w:t>
      </w:r>
      <w:r w:rsidRPr="00B60B17">
        <w:t xml:space="preserve"> панелей </w:t>
      </w:r>
      <w:r w:rsidR="001C46F3">
        <w:t>изучается</w:t>
      </w:r>
      <w:r w:rsidR="00600B32" w:rsidRPr="00B60B17">
        <w:t xml:space="preserve"> влияние альтруизма и мотивации врачей </w:t>
      </w:r>
      <w:r w:rsidR="001C46F3">
        <w:t xml:space="preserve">на качество услуг </w:t>
      </w:r>
      <w:r w:rsidR="00600B32" w:rsidRPr="00B60B17">
        <w:t>при контракте, объединяющем фиксированный тариф за количество у</w:t>
      </w:r>
      <w:r w:rsidR="001C46F3">
        <w:t xml:space="preserve">слуг и доплату за </w:t>
      </w:r>
      <w:r w:rsidR="00600B32" w:rsidRPr="00B60B17">
        <w:t xml:space="preserve">качество. </w:t>
      </w:r>
      <w:r w:rsidRPr="00B60B17">
        <w:t>Отмет</w:t>
      </w:r>
      <w:r w:rsidR="00522FEE" w:rsidRPr="00B60B17">
        <w:t>им что мотивационные контракты часто п</w:t>
      </w:r>
      <w:r w:rsidRPr="00B60B17">
        <w:t>риводят к нежелательным последствиям для самых способных агентов: их результаты ухудшаются из-</w:t>
      </w:r>
      <w:r w:rsidR="003A48CB" w:rsidRPr="00B60B17">
        <w:t>за конформизма</w:t>
      </w:r>
      <w:r w:rsidRPr="00B60B17">
        <w:t xml:space="preserve">, ослабления усилий и внутренних принципов поведения.  В то же время, альтруистичные агенты должны быть заинтересованы в социальной ценности своих результатов. Существует научная литература о социальных предпочтениях в играх, связанных с предоставлением общественных благ и мотивационных контрактах с </w:t>
      </w:r>
      <w:proofErr w:type="spellStart"/>
      <w:r w:rsidRPr="00B60B17">
        <w:t>подушевым</w:t>
      </w:r>
      <w:proofErr w:type="spellEnd"/>
      <w:r w:rsidRPr="00B60B17">
        <w:t xml:space="preserve"> тарифом, однако мало известно об альтруизме при выплатах за относительное качество.</w:t>
      </w:r>
      <w:r w:rsidR="003075AD" w:rsidRPr="00B60B17">
        <w:t xml:space="preserve"> </w:t>
      </w:r>
      <w:r w:rsidR="00600B32" w:rsidRPr="00B60B17">
        <w:t xml:space="preserve">Построенная </w:t>
      </w:r>
      <w:r w:rsidRPr="00B60B17">
        <w:t xml:space="preserve">в работе </w:t>
      </w:r>
      <w:r w:rsidR="00600B32" w:rsidRPr="00B60B17">
        <w:t xml:space="preserve">теоретическая модель предсказывает, что качество наиболее альтруистичных и результативных агентов может падать. Предсказания модели протестированы в рамках эконометрического анализа с динамическими панелями на данных 2013-2017 гг. о 3000 неотложных больницах американской системы </w:t>
      </w:r>
      <w:proofErr w:type="spellStart"/>
      <w:r w:rsidR="00600B32" w:rsidRPr="00B60B17">
        <w:t>Медикэр</w:t>
      </w:r>
      <w:proofErr w:type="spellEnd"/>
      <w:r w:rsidR="00600B32" w:rsidRPr="00B60B17">
        <w:t xml:space="preserve">, </w:t>
      </w:r>
      <w:r w:rsidR="003A48CB" w:rsidRPr="00B60B17">
        <w:t>где реализуется</w:t>
      </w:r>
      <w:r w:rsidR="00600B32" w:rsidRPr="00B60B17">
        <w:t xml:space="preserve"> мотивационный контракт за относительное качество.</w:t>
      </w:r>
      <w:r w:rsidR="003075AD" w:rsidRPr="00B60B17">
        <w:t xml:space="preserve"> При этом осуществлено выделение долгосрочного </w:t>
      </w:r>
      <w:r w:rsidR="001C46F3" w:rsidRPr="00B60B17">
        <w:t>среднего в</w:t>
      </w:r>
      <w:r w:rsidR="003075AD" w:rsidRPr="00B60B17">
        <w:t xml:space="preserve"> дореформенный и </w:t>
      </w:r>
      <w:proofErr w:type="spellStart"/>
      <w:r w:rsidR="003075AD" w:rsidRPr="00B60B17">
        <w:t>послереформенный</w:t>
      </w:r>
      <w:proofErr w:type="spellEnd"/>
      <w:r w:rsidR="003075AD" w:rsidRPr="00B60B17">
        <w:t xml:space="preserve"> период и производится анализ по </w:t>
      </w:r>
      <w:proofErr w:type="spellStart"/>
      <w:r w:rsidR="003075AD" w:rsidRPr="00B60B17">
        <w:t>децильным</w:t>
      </w:r>
      <w:proofErr w:type="spellEnd"/>
      <w:r w:rsidR="003075AD" w:rsidRPr="00B60B17">
        <w:t xml:space="preserve"> группам </w:t>
      </w:r>
      <w:proofErr w:type="spellStart"/>
      <w:r w:rsidR="003075AD" w:rsidRPr="00B60B17">
        <w:t>лагированной</w:t>
      </w:r>
      <w:proofErr w:type="spellEnd"/>
      <w:r w:rsidR="003075AD" w:rsidRPr="00B60B17">
        <w:t xml:space="preserve"> зависимой переменной.</w:t>
      </w:r>
      <w:r w:rsidR="00522FEE" w:rsidRPr="00B60B17">
        <w:t xml:space="preserve"> </w:t>
      </w:r>
      <w:r w:rsidR="00600B32" w:rsidRPr="00B60B17">
        <w:t xml:space="preserve"> Полученные результаты подтверждают гипотезы о падении качества у альтруистичных агентов. Выводы исследования могут быть использованы для понимания необходимости корректировки нежелательных последст</w:t>
      </w:r>
      <w:r w:rsidR="003075AD" w:rsidRPr="00B60B17">
        <w:t xml:space="preserve">вий мотивационных контрактов.  </w:t>
      </w:r>
    </w:p>
    <w:p w:rsidR="00D53BD2" w:rsidRPr="00B60B17" w:rsidRDefault="00F24E2F" w:rsidP="00B60B17">
      <w:pPr>
        <w:pStyle w:val="Default"/>
        <w:spacing w:line="360" w:lineRule="auto"/>
        <w:jc w:val="both"/>
        <w:rPr>
          <w:lang w:val="ru-RU"/>
        </w:rPr>
      </w:pPr>
      <w:r w:rsidRPr="00B60B17">
        <w:rPr>
          <w:lang w:val="ru-RU"/>
        </w:rPr>
        <w:lastRenderedPageBreak/>
        <w:t xml:space="preserve"> </w:t>
      </w:r>
      <w:r w:rsidR="00BD3944" w:rsidRPr="00B60B17">
        <w:rPr>
          <w:lang w:val="ru-RU"/>
        </w:rPr>
        <w:tab/>
      </w:r>
      <w:r w:rsidR="007F0043">
        <w:rPr>
          <w:lang w:val="ru-RU"/>
        </w:rPr>
        <w:t>В статье</w:t>
      </w:r>
      <w:r w:rsidR="003075AD" w:rsidRPr="00B60B17">
        <w:rPr>
          <w:lang w:val="ru-RU"/>
        </w:rPr>
        <w:t xml:space="preserve"> </w:t>
      </w:r>
      <w:proofErr w:type="spellStart"/>
      <w:r w:rsidR="007F0043">
        <w:rPr>
          <w:lang w:val="ru-RU"/>
        </w:rPr>
        <w:t>Бесстремянная</w:t>
      </w:r>
      <w:proofErr w:type="spellEnd"/>
      <w:r w:rsidR="004B4F3B" w:rsidRPr="00B60B17">
        <w:rPr>
          <w:lang w:val="ru-RU"/>
        </w:rPr>
        <w:t xml:space="preserve"> (2006)</w:t>
      </w:r>
      <w:r w:rsidR="003075AD" w:rsidRPr="00B60B17">
        <w:rPr>
          <w:lang w:val="ru-RU"/>
        </w:rPr>
        <w:t xml:space="preserve"> также использованы модели с </w:t>
      </w:r>
      <w:proofErr w:type="spellStart"/>
      <w:r w:rsidR="003075AD" w:rsidRPr="00B60B17">
        <w:rPr>
          <w:lang w:val="ru-RU"/>
        </w:rPr>
        <w:t>лагированными</w:t>
      </w:r>
      <w:proofErr w:type="spellEnd"/>
      <w:r w:rsidR="003075AD" w:rsidRPr="00B60B17">
        <w:rPr>
          <w:lang w:val="ru-RU"/>
        </w:rPr>
        <w:t xml:space="preserve"> переменными – осуществлен</w:t>
      </w:r>
      <w:r w:rsidR="004B4F3B" w:rsidRPr="00B60B17">
        <w:rPr>
          <w:lang w:val="ru-RU"/>
        </w:rPr>
        <w:t xml:space="preserve"> </w:t>
      </w:r>
      <w:r w:rsidR="00EC558B" w:rsidRPr="00B60B17">
        <w:rPr>
          <w:lang w:val="ru-RU"/>
        </w:rPr>
        <w:t xml:space="preserve">эконометрический анализ с помощью </w:t>
      </w:r>
      <w:r w:rsidR="004B4F3B" w:rsidRPr="00B60B17">
        <w:rPr>
          <w:lang w:val="ru-RU"/>
        </w:rPr>
        <w:t>векторны</w:t>
      </w:r>
      <w:r w:rsidR="00EC558B" w:rsidRPr="00B60B17">
        <w:rPr>
          <w:lang w:val="ru-RU"/>
        </w:rPr>
        <w:t>х авторегрессий</w:t>
      </w:r>
      <w:r w:rsidR="004B4F3B" w:rsidRPr="00B60B17">
        <w:rPr>
          <w:lang w:val="ru-RU"/>
        </w:rPr>
        <w:t xml:space="preserve"> для оценивания </w:t>
      </w:r>
      <w:proofErr w:type="spellStart"/>
      <w:r w:rsidR="004B4F3B" w:rsidRPr="00B60B17">
        <w:rPr>
          <w:lang w:val="ru-RU"/>
        </w:rPr>
        <w:t>перетоков</w:t>
      </w:r>
      <w:proofErr w:type="spellEnd"/>
      <w:r w:rsidR="004B4F3B" w:rsidRPr="00B60B17">
        <w:rPr>
          <w:lang w:val="ru-RU"/>
        </w:rPr>
        <w:t xml:space="preserve"> труда между различными секторами российской экономики.</w:t>
      </w:r>
    </w:p>
    <w:p w:rsidR="003075AD" w:rsidRPr="00B60B17" w:rsidRDefault="00BD3944" w:rsidP="00B60B17">
      <w:pPr>
        <w:pStyle w:val="BodyText"/>
        <w:spacing w:after="0" w:line="360" w:lineRule="auto"/>
        <w:jc w:val="both"/>
        <w:rPr>
          <w:b/>
        </w:rPr>
      </w:pPr>
      <w:r w:rsidRPr="00B60B17">
        <w:tab/>
      </w:r>
      <w:r w:rsidR="003075AD" w:rsidRPr="00B60B17">
        <w:rPr>
          <w:b/>
        </w:rPr>
        <w:t>6. М</w:t>
      </w:r>
      <w:r w:rsidR="00EC558B" w:rsidRPr="00B60B17">
        <w:rPr>
          <w:b/>
        </w:rPr>
        <w:t>етоды описательного и статистического анализа.</w:t>
      </w:r>
      <w:r w:rsidR="00F003E5" w:rsidRPr="00B60B17">
        <w:rPr>
          <w:b/>
        </w:rPr>
        <w:t xml:space="preserve"> </w:t>
      </w:r>
    </w:p>
    <w:p w:rsidR="00EC558B" w:rsidRPr="00B60B17" w:rsidRDefault="00EC558B" w:rsidP="00B60B17">
      <w:pPr>
        <w:pStyle w:val="BodyText"/>
        <w:spacing w:after="0" w:line="360" w:lineRule="auto"/>
        <w:ind w:firstLine="708"/>
        <w:jc w:val="both"/>
      </w:pPr>
      <w:r w:rsidRPr="00B60B17">
        <w:rPr>
          <w:iCs/>
          <w:color w:val="000000"/>
        </w:rPr>
        <w:t xml:space="preserve">В статье </w:t>
      </w:r>
      <w:proofErr w:type="spellStart"/>
      <w:r w:rsidR="003A48CB">
        <w:rPr>
          <w:iCs/>
          <w:color w:val="000000"/>
        </w:rPr>
        <w:t>Бесстремянная</w:t>
      </w:r>
      <w:proofErr w:type="spellEnd"/>
      <w:r w:rsidR="003A48CB">
        <w:rPr>
          <w:iCs/>
          <w:color w:val="000000"/>
        </w:rPr>
        <w:t xml:space="preserve"> </w:t>
      </w:r>
      <w:r w:rsidR="003A48CB" w:rsidRPr="00B60B17">
        <w:rPr>
          <w:rFonts w:eastAsiaTheme="minorEastAsia"/>
          <w:lang w:eastAsia="ja-JP"/>
        </w:rPr>
        <w:t>(</w:t>
      </w:r>
      <w:r w:rsidR="00F003E5" w:rsidRPr="00B60B17">
        <w:rPr>
          <w:rFonts w:eastAsiaTheme="minorEastAsia"/>
          <w:lang w:eastAsia="ja-JP"/>
        </w:rPr>
        <w:t>2019</w:t>
      </w:r>
      <w:r w:rsidR="003A48CB">
        <w:rPr>
          <w:rFonts w:eastAsiaTheme="minorEastAsia"/>
          <w:lang w:val="en-US" w:eastAsia="ja-JP"/>
        </w:rPr>
        <w:t>b</w:t>
      </w:r>
      <w:r w:rsidR="003A48CB" w:rsidRPr="00B60B17">
        <w:rPr>
          <w:rFonts w:eastAsiaTheme="minorEastAsia"/>
          <w:lang w:eastAsia="ja-JP"/>
        </w:rPr>
        <w:t>) рассмотрены</w:t>
      </w:r>
      <w:r w:rsidRPr="00B60B17">
        <w:rPr>
          <w:iCs/>
          <w:color w:val="000000"/>
        </w:rPr>
        <w:t xml:space="preserve"> основные экономические предпосылки сделок слияний и поглощений в Рос</w:t>
      </w:r>
      <w:r w:rsidRPr="00B60B17">
        <w:rPr>
          <w:iCs/>
          <w:color w:val="000000"/>
        </w:rPr>
        <w:softHyphen/>
        <w:t xml:space="preserve">сии и зарубежных странах. На основе </w:t>
      </w:r>
      <w:r w:rsidR="00F003E5" w:rsidRPr="00B60B17">
        <w:rPr>
          <w:iCs/>
          <w:color w:val="000000"/>
        </w:rPr>
        <w:t xml:space="preserve">описательного анализа вторичных агрегированных данных </w:t>
      </w:r>
      <w:r w:rsidRPr="00B60B17">
        <w:rPr>
          <w:iCs/>
          <w:color w:val="000000"/>
        </w:rPr>
        <w:t>опросов руководителей российских и западных компаний, а также участников российского и международного рынка слияний и поглощений проводятся со</w:t>
      </w:r>
      <w:r w:rsidRPr="00B60B17">
        <w:rPr>
          <w:iCs/>
          <w:color w:val="000000"/>
        </w:rPr>
        <w:softHyphen/>
        <w:t xml:space="preserve">поставления различных форм стратегического управления или реструктуризации бизнеса. В статье показано, что недостаточное развитие конкуренции в </w:t>
      </w:r>
      <w:r w:rsidR="001C46F3">
        <w:rPr>
          <w:iCs/>
          <w:color w:val="000000"/>
        </w:rPr>
        <w:t xml:space="preserve">целом в экономике </w:t>
      </w:r>
      <w:r w:rsidRPr="00B60B17">
        <w:rPr>
          <w:iCs/>
          <w:color w:val="000000"/>
        </w:rPr>
        <w:t>России и проблемы с финансовой отчетно</w:t>
      </w:r>
      <w:r w:rsidRPr="00B60B17">
        <w:rPr>
          <w:iCs/>
          <w:color w:val="000000"/>
        </w:rPr>
        <w:softHyphen/>
        <w:t xml:space="preserve">стью </w:t>
      </w:r>
      <w:r w:rsidR="001C46F3">
        <w:rPr>
          <w:iCs/>
          <w:color w:val="000000"/>
        </w:rPr>
        <w:t xml:space="preserve">предприятий </w:t>
      </w:r>
      <w:r w:rsidRPr="00B60B17">
        <w:rPr>
          <w:iCs/>
          <w:color w:val="000000"/>
        </w:rPr>
        <w:t>приводят к относительно малой распространенности сделок, особенно в целях оперирования активами приобретаемой компании. В то же время</w:t>
      </w:r>
      <w:r w:rsidR="001C46F3">
        <w:rPr>
          <w:iCs/>
          <w:color w:val="000000"/>
        </w:rPr>
        <w:t xml:space="preserve"> проведенный в статье</w:t>
      </w:r>
      <w:r w:rsidRPr="00B60B17">
        <w:rPr>
          <w:iCs/>
          <w:color w:val="000000"/>
        </w:rPr>
        <w:t xml:space="preserve"> анализ данных российского рынка слияний и поглощений за 2014–2018 гг. </w:t>
      </w:r>
      <w:r w:rsidR="001C46F3">
        <w:rPr>
          <w:iCs/>
          <w:color w:val="000000"/>
        </w:rPr>
        <w:t xml:space="preserve">для отдельных отраслей </w:t>
      </w:r>
      <w:r w:rsidRPr="00B60B17">
        <w:rPr>
          <w:iCs/>
          <w:color w:val="000000"/>
        </w:rPr>
        <w:t>свидетельствует об относительно высокой конкуренции в сфере информационных технологий</w:t>
      </w:r>
      <w:r w:rsidR="001C46F3">
        <w:rPr>
          <w:iCs/>
          <w:color w:val="000000"/>
        </w:rPr>
        <w:t xml:space="preserve">, где наблюдается также </w:t>
      </w:r>
      <w:r w:rsidRPr="00B60B17">
        <w:rPr>
          <w:iCs/>
          <w:color w:val="000000"/>
        </w:rPr>
        <w:t>рост количества и совокупной стоимости сделок.</w:t>
      </w:r>
    </w:p>
    <w:p w:rsidR="001C46F3" w:rsidRPr="00B60B17" w:rsidRDefault="00F003E5" w:rsidP="001C46F3">
      <w:pPr>
        <w:spacing w:line="360" w:lineRule="auto"/>
        <w:ind w:firstLine="708"/>
        <w:jc w:val="both"/>
        <w:rPr>
          <w:b/>
        </w:rPr>
      </w:pPr>
      <w:r w:rsidRPr="00B60B17">
        <w:t xml:space="preserve">В работе </w:t>
      </w:r>
      <w:r w:rsidR="00EC558B" w:rsidRPr="00B60B17">
        <w:rPr>
          <w:lang w:val="en-US"/>
        </w:rPr>
        <w:t>Besstremyannaya</w:t>
      </w:r>
      <w:r w:rsidR="00EC558B" w:rsidRPr="00B60B17">
        <w:t xml:space="preserve"> (2009) </w:t>
      </w:r>
      <w:r w:rsidRPr="00B60B17">
        <w:t xml:space="preserve">применяется </w:t>
      </w:r>
      <w:r w:rsidR="00EC558B" w:rsidRPr="00B60B17">
        <w:t xml:space="preserve">корреляционный анализ для изучения региональных различий в вопросах, связанных с монетизацией льгот на лекарства и созданием системы дополнительного лекарственного обеспечения. Здесь основной задачей становится оценка факторов, предопределивших потребительский выбор после этой реформы в пользу денежной компенсации или сохранения социального пакета. </w:t>
      </w:r>
    </w:p>
    <w:p w:rsidR="00860338" w:rsidRPr="00B60B17" w:rsidRDefault="00E2445F" w:rsidP="00B60B17">
      <w:pPr>
        <w:spacing w:after="200" w:line="276" w:lineRule="auto"/>
        <w:ind w:firstLine="708"/>
        <w:rPr>
          <w:b/>
        </w:rPr>
      </w:pPr>
      <w:r w:rsidRPr="00B60B17">
        <w:rPr>
          <w:b/>
        </w:rPr>
        <w:t>Литература</w:t>
      </w:r>
    </w:p>
    <w:p w:rsidR="00762D51" w:rsidRPr="00B60B17" w:rsidRDefault="00762D51" w:rsidP="00B60B17">
      <w:pPr>
        <w:numPr>
          <w:ilvl w:val="0"/>
          <w:numId w:val="17"/>
        </w:numPr>
        <w:tabs>
          <w:tab w:val="left" w:pos="851"/>
        </w:tabs>
        <w:jc w:val="both"/>
        <w:rPr>
          <w:spacing w:val="-3"/>
          <w:lang w:val="en-US"/>
        </w:rPr>
      </w:pPr>
      <w:proofErr w:type="spellStart"/>
      <w:r w:rsidRPr="00B60B17">
        <w:rPr>
          <w:spacing w:val="-3"/>
          <w:lang w:val="en-US"/>
        </w:rPr>
        <w:t>Battese</w:t>
      </w:r>
      <w:proofErr w:type="spellEnd"/>
      <w:r w:rsidRPr="00B60B17">
        <w:rPr>
          <w:spacing w:val="-3"/>
          <w:lang w:val="en-US"/>
        </w:rPr>
        <w:t xml:space="preserve">, G.E. and T.J. </w:t>
      </w:r>
      <w:proofErr w:type="spellStart"/>
      <w:r w:rsidRPr="00B60B17">
        <w:rPr>
          <w:spacing w:val="-3"/>
          <w:lang w:val="en-US"/>
        </w:rPr>
        <w:t>Coelli</w:t>
      </w:r>
      <w:proofErr w:type="spellEnd"/>
      <w:r w:rsidRPr="00B60B17">
        <w:rPr>
          <w:spacing w:val="-3"/>
          <w:lang w:val="en-US"/>
        </w:rPr>
        <w:t xml:space="preserve">. 1992. “Frontier production functions, technical efficiency and panel data: with application to paddy farmers in India”, </w:t>
      </w:r>
      <w:r w:rsidRPr="00B60B17">
        <w:rPr>
          <w:i/>
          <w:iCs/>
          <w:spacing w:val="-3"/>
          <w:lang w:val="en-US"/>
        </w:rPr>
        <w:t>Journal of Productivity Analysis</w:t>
      </w:r>
      <w:r w:rsidRPr="00B60B17">
        <w:rPr>
          <w:spacing w:val="-3"/>
          <w:lang w:val="en-US"/>
        </w:rPr>
        <w:t xml:space="preserve">, Vol.3, pp.153-169. </w:t>
      </w:r>
    </w:p>
    <w:p w:rsidR="00762D51" w:rsidRPr="00B60B17" w:rsidRDefault="00762D51" w:rsidP="00B60B17">
      <w:pPr>
        <w:pStyle w:val="Bibliography"/>
        <w:numPr>
          <w:ilvl w:val="0"/>
          <w:numId w:val="17"/>
        </w:numPr>
        <w:jc w:val="both"/>
      </w:pPr>
      <w:bookmarkStart w:id="0" w:name="ref-canay:2011"/>
      <w:proofErr w:type="spellStart"/>
      <w:r w:rsidRPr="00B60B17">
        <w:rPr>
          <w:lang w:val="en-US"/>
        </w:rPr>
        <w:t>Canay</w:t>
      </w:r>
      <w:proofErr w:type="spellEnd"/>
      <w:r w:rsidRPr="00B60B17">
        <w:rPr>
          <w:lang w:val="en-US"/>
        </w:rPr>
        <w:t xml:space="preserve"> I. 2011. “A simple approach to quantile regression for panel data”. </w:t>
      </w:r>
      <w:proofErr w:type="spellStart"/>
      <w:r w:rsidRPr="00B60B17">
        <w:rPr>
          <w:i/>
        </w:rPr>
        <w:t>The</w:t>
      </w:r>
      <w:proofErr w:type="spellEnd"/>
      <w:r w:rsidRPr="00B60B17">
        <w:rPr>
          <w:i/>
        </w:rPr>
        <w:t xml:space="preserve"> </w:t>
      </w:r>
      <w:proofErr w:type="spellStart"/>
      <w:r w:rsidRPr="00B60B17">
        <w:rPr>
          <w:i/>
        </w:rPr>
        <w:t>Econometrics</w:t>
      </w:r>
      <w:proofErr w:type="spellEnd"/>
      <w:r w:rsidRPr="00B60B17">
        <w:rPr>
          <w:i/>
        </w:rPr>
        <w:t xml:space="preserve"> </w:t>
      </w:r>
      <w:proofErr w:type="spellStart"/>
      <w:r w:rsidRPr="00B60B17">
        <w:rPr>
          <w:i/>
        </w:rPr>
        <w:t>Journal</w:t>
      </w:r>
      <w:proofErr w:type="spellEnd"/>
      <w:r w:rsidRPr="00B60B17">
        <w:t xml:space="preserve">, 14, </w:t>
      </w:r>
      <w:proofErr w:type="spellStart"/>
      <w:r w:rsidRPr="00B60B17">
        <w:t>pp</w:t>
      </w:r>
      <w:proofErr w:type="spellEnd"/>
      <w:r w:rsidRPr="00B60B17">
        <w:t>. 368–386.</w:t>
      </w:r>
    </w:p>
    <w:p w:rsidR="00762D51" w:rsidRPr="00B60B17" w:rsidRDefault="00762D51" w:rsidP="00B60B17">
      <w:pPr>
        <w:pStyle w:val="Bibliography"/>
        <w:numPr>
          <w:ilvl w:val="0"/>
          <w:numId w:val="17"/>
        </w:numPr>
        <w:jc w:val="both"/>
        <w:rPr>
          <w:iCs/>
        </w:rPr>
      </w:pPr>
      <w:bookmarkStart w:id="1" w:name="ref-chen-huo:2020"/>
      <w:bookmarkEnd w:id="0"/>
      <w:r w:rsidRPr="00B60B17">
        <w:rPr>
          <w:lang w:val="en-US"/>
        </w:rPr>
        <w:t xml:space="preserve">Chen L., </w:t>
      </w:r>
      <w:proofErr w:type="spellStart"/>
      <w:r w:rsidRPr="00B60B17">
        <w:rPr>
          <w:lang w:val="en-US"/>
        </w:rPr>
        <w:t>Huo</w:t>
      </w:r>
      <w:proofErr w:type="spellEnd"/>
      <w:r w:rsidRPr="00B60B17">
        <w:rPr>
          <w:lang w:val="en-US"/>
        </w:rPr>
        <w:t xml:space="preserve"> Y. 2021. “A simple estimator for quantile panel data models using smoothed quantile regressions”. </w:t>
      </w:r>
      <w:proofErr w:type="spellStart"/>
      <w:r w:rsidRPr="00B60B17">
        <w:rPr>
          <w:i/>
        </w:rPr>
        <w:t>The</w:t>
      </w:r>
      <w:proofErr w:type="spellEnd"/>
      <w:r w:rsidRPr="00B60B17">
        <w:rPr>
          <w:i/>
        </w:rPr>
        <w:t xml:space="preserve"> </w:t>
      </w:r>
      <w:proofErr w:type="spellStart"/>
      <w:r w:rsidRPr="00B60B17">
        <w:rPr>
          <w:i/>
        </w:rPr>
        <w:t>Econometrics</w:t>
      </w:r>
      <w:proofErr w:type="spellEnd"/>
      <w:r w:rsidRPr="00B60B17">
        <w:rPr>
          <w:i/>
        </w:rPr>
        <w:t xml:space="preserve"> </w:t>
      </w:r>
      <w:proofErr w:type="spellStart"/>
      <w:r w:rsidRPr="00B60B17">
        <w:rPr>
          <w:i/>
        </w:rPr>
        <w:t>Journal</w:t>
      </w:r>
      <w:proofErr w:type="spellEnd"/>
      <w:r w:rsidRPr="00B60B17">
        <w:t xml:space="preserve">, </w:t>
      </w:r>
      <w:r w:rsidRPr="00B60B17">
        <w:rPr>
          <w:iCs/>
        </w:rPr>
        <w:t xml:space="preserve">24 (2), </w:t>
      </w:r>
      <w:proofErr w:type="spellStart"/>
      <w:r w:rsidRPr="00B60B17">
        <w:t>pp</w:t>
      </w:r>
      <w:proofErr w:type="spellEnd"/>
      <w:r w:rsidRPr="00B60B17">
        <w:t xml:space="preserve">. </w:t>
      </w:r>
      <w:r w:rsidRPr="00B60B17">
        <w:rPr>
          <w:iCs/>
        </w:rPr>
        <w:t>247–263.</w:t>
      </w:r>
    </w:p>
    <w:p w:rsidR="00762D51" w:rsidRPr="00B60B17" w:rsidRDefault="00762D51" w:rsidP="00B60B17">
      <w:pPr>
        <w:pStyle w:val="Bibliography"/>
        <w:numPr>
          <w:ilvl w:val="0"/>
          <w:numId w:val="17"/>
        </w:numPr>
        <w:jc w:val="both"/>
        <w:rPr>
          <w:lang w:val="en-US"/>
        </w:rPr>
      </w:pPr>
      <w:bookmarkStart w:id="2" w:name="ref-collins-lanza:2010"/>
      <w:bookmarkEnd w:id="1"/>
      <w:r w:rsidRPr="00B60B17">
        <w:rPr>
          <w:lang w:val="en-US"/>
        </w:rPr>
        <w:t xml:space="preserve">Collins, L. M., and S. T. Lanza. 2010. </w:t>
      </w:r>
      <w:r w:rsidRPr="00B60B17">
        <w:rPr>
          <w:i/>
          <w:lang w:val="en-US"/>
        </w:rPr>
        <w:t>Latent Class and Latent Transition Analysis with Applications in the Social, Behavioral, and Health Sciences</w:t>
      </w:r>
      <w:r w:rsidRPr="00B60B17">
        <w:rPr>
          <w:lang w:val="en-US"/>
        </w:rPr>
        <w:t>. Hoboken, New Jersey: John Wiley &amp; Sons.</w:t>
      </w:r>
    </w:p>
    <w:p w:rsidR="00762D51" w:rsidRPr="00B60B17" w:rsidRDefault="00762D51" w:rsidP="00B60B17">
      <w:pPr>
        <w:pStyle w:val="Bibliography"/>
        <w:numPr>
          <w:ilvl w:val="0"/>
          <w:numId w:val="17"/>
        </w:numPr>
        <w:jc w:val="both"/>
      </w:pPr>
      <w:bookmarkStart w:id="3" w:name="ref-dhaene-jochmans:2015"/>
      <w:bookmarkEnd w:id="2"/>
      <w:proofErr w:type="spellStart"/>
      <w:r w:rsidRPr="00B60B17">
        <w:rPr>
          <w:iCs/>
          <w:lang w:val="en-US"/>
        </w:rPr>
        <w:t>D</w:t>
      </w:r>
      <w:r w:rsidRPr="00B60B17">
        <w:rPr>
          <w:lang w:val="en-US"/>
        </w:rPr>
        <w:t>haene</w:t>
      </w:r>
      <w:proofErr w:type="spellEnd"/>
      <w:r w:rsidRPr="00B60B17">
        <w:rPr>
          <w:lang w:val="en-US"/>
        </w:rPr>
        <w:t xml:space="preserve"> G., </w:t>
      </w:r>
      <w:proofErr w:type="spellStart"/>
      <w:r w:rsidRPr="00B60B17">
        <w:rPr>
          <w:lang w:val="en-US"/>
        </w:rPr>
        <w:t>Jochmans</w:t>
      </w:r>
      <w:proofErr w:type="spellEnd"/>
      <w:r w:rsidRPr="00B60B17">
        <w:rPr>
          <w:lang w:val="en-US"/>
        </w:rPr>
        <w:t xml:space="preserve"> K. 2015. “Split-panel jackknife estimation of fixed-effect models”. </w:t>
      </w:r>
      <w:proofErr w:type="spellStart"/>
      <w:r w:rsidRPr="00B60B17">
        <w:rPr>
          <w:i/>
        </w:rPr>
        <w:t>The</w:t>
      </w:r>
      <w:proofErr w:type="spellEnd"/>
      <w:r w:rsidRPr="00B60B17">
        <w:rPr>
          <w:i/>
        </w:rPr>
        <w:t xml:space="preserve"> </w:t>
      </w:r>
      <w:proofErr w:type="spellStart"/>
      <w:r w:rsidRPr="00B60B17">
        <w:rPr>
          <w:i/>
        </w:rPr>
        <w:t>Review</w:t>
      </w:r>
      <w:proofErr w:type="spellEnd"/>
      <w:r w:rsidRPr="00B60B17">
        <w:rPr>
          <w:i/>
        </w:rPr>
        <w:t xml:space="preserve"> </w:t>
      </w:r>
      <w:proofErr w:type="spellStart"/>
      <w:r w:rsidRPr="00B60B17">
        <w:rPr>
          <w:i/>
        </w:rPr>
        <w:t>of</w:t>
      </w:r>
      <w:proofErr w:type="spellEnd"/>
      <w:r w:rsidRPr="00B60B17">
        <w:rPr>
          <w:i/>
        </w:rPr>
        <w:t xml:space="preserve"> </w:t>
      </w:r>
      <w:proofErr w:type="spellStart"/>
      <w:r w:rsidRPr="00B60B17">
        <w:rPr>
          <w:i/>
        </w:rPr>
        <w:t>Economic</w:t>
      </w:r>
      <w:proofErr w:type="spellEnd"/>
      <w:r w:rsidRPr="00B60B17">
        <w:rPr>
          <w:i/>
        </w:rPr>
        <w:t xml:space="preserve"> </w:t>
      </w:r>
      <w:proofErr w:type="spellStart"/>
      <w:r w:rsidRPr="00B60B17">
        <w:rPr>
          <w:i/>
        </w:rPr>
        <w:t>Studies</w:t>
      </w:r>
      <w:proofErr w:type="spellEnd"/>
      <w:r w:rsidRPr="00B60B17">
        <w:t xml:space="preserve">, 82 (3), </w:t>
      </w:r>
      <w:proofErr w:type="spellStart"/>
      <w:r w:rsidRPr="00B60B17">
        <w:t>pp</w:t>
      </w:r>
      <w:proofErr w:type="spellEnd"/>
      <w:r w:rsidRPr="00B60B17">
        <w:t>. 991–1030.</w:t>
      </w:r>
    </w:p>
    <w:bookmarkEnd w:id="3"/>
    <w:p w:rsidR="00762D51" w:rsidRPr="00B60B17" w:rsidRDefault="00762D51" w:rsidP="00B60B17">
      <w:pPr>
        <w:pStyle w:val="FootnoteText"/>
        <w:numPr>
          <w:ilvl w:val="0"/>
          <w:numId w:val="17"/>
        </w:numPr>
        <w:tabs>
          <w:tab w:val="left" w:pos="851"/>
        </w:tabs>
        <w:jc w:val="both"/>
        <w:rPr>
          <w:rFonts w:ascii="Times New Roman" w:hAnsi="Times New Roman"/>
          <w:sz w:val="24"/>
          <w:szCs w:val="24"/>
          <w:lang w:val="en-US"/>
        </w:rPr>
      </w:pPr>
      <w:proofErr w:type="spellStart"/>
      <w:r w:rsidRPr="00B60B17">
        <w:rPr>
          <w:rFonts w:ascii="Times New Roman" w:hAnsi="Times New Roman"/>
          <w:sz w:val="24"/>
          <w:szCs w:val="24"/>
          <w:lang w:val="en-US"/>
        </w:rPr>
        <w:t>Duan</w:t>
      </w:r>
      <w:proofErr w:type="spellEnd"/>
      <w:r w:rsidRPr="00B60B17">
        <w:rPr>
          <w:rFonts w:ascii="Times New Roman" w:hAnsi="Times New Roman"/>
          <w:sz w:val="24"/>
          <w:szCs w:val="24"/>
          <w:lang w:val="en-US"/>
        </w:rPr>
        <w:t xml:space="preserve">, N., Manning, W.G., Morris, C.N. and Newhouse, J.P. (1983), “A comparison of alternative models for the demand for medical care”, </w:t>
      </w:r>
      <w:r w:rsidRPr="00B60B17">
        <w:rPr>
          <w:rFonts w:ascii="Times New Roman" w:hAnsi="Times New Roman"/>
          <w:i/>
          <w:iCs/>
          <w:sz w:val="24"/>
          <w:szCs w:val="24"/>
          <w:lang w:val="en-US"/>
        </w:rPr>
        <w:t>Journal of Business &amp; Economic Statistics</w:t>
      </w:r>
      <w:r w:rsidRPr="00B60B17">
        <w:rPr>
          <w:rFonts w:ascii="Times New Roman" w:hAnsi="Times New Roman"/>
          <w:sz w:val="24"/>
          <w:szCs w:val="24"/>
          <w:lang w:val="en-US"/>
        </w:rPr>
        <w:t>, Vol.1 No.2, pp.115–126.</w:t>
      </w:r>
    </w:p>
    <w:p w:rsidR="00762D51" w:rsidRPr="00B60B17" w:rsidRDefault="00762D51" w:rsidP="00B60B17">
      <w:pPr>
        <w:numPr>
          <w:ilvl w:val="0"/>
          <w:numId w:val="17"/>
        </w:numPr>
        <w:tabs>
          <w:tab w:val="left" w:pos="851"/>
        </w:tabs>
        <w:autoSpaceDE w:val="0"/>
        <w:autoSpaceDN w:val="0"/>
        <w:adjustRightInd w:val="0"/>
        <w:jc w:val="both"/>
        <w:rPr>
          <w:lang w:val="en-US"/>
        </w:rPr>
      </w:pPr>
      <w:r w:rsidRPr="00B60B17">
        <w:rPr>
          <w:rStyle w:val="Strong"/>
          <w:b w:val="0"/>
          <w:lang w:val="en-US"/>
        </w:rPr>
        <w:t xml:space="preserve">Fare, R., </w:t>
      </w:r>
      <w:proofErr w:type="spellStart"/>
      <w:r w:rsidRPr="00B60B17">
        <w:rPr>
          <w:rStyle w:val="Strong"/>
          <w:b w:val="0"/>
          <w:lang w:val="en-US"/>
        </w:rPr>
        <w:t>Grosskopf</w:t>
      </w:r>
      <w:proofErr w:type="spellEnd"/>
      <w:r w:rsidRPr="00B60B17">
        <w:rPr>
          <w:rStyle w:val="Strong"/>
          <w:b w:val="0"/>
          <w:lang w:val="en-US"/>
        </w:rPr>
        <w:t xml:space="preserve">, S., and </w:t>
      </w:r>
      <w:proofErr w:type="spellStart"/>
      <w:r w:rsidRPr="00B60B17">
        <w:rPr>
          <w:rStyle w:val="Strong"/>
          <w:b w:val="0"/>
          <w:lang w:val="en-US"/>
        </w:rPr>
        <w:t>C.</w:t>
      </w:r>
      <w:proofErr w:type="gramStart"/>
      <w:r w:rsidRPr="00B60B17">
        <w:rPr>
          <w:rStyle w:val="Strong"/>
          <w:b w:val="0"/>
          <w:lang w:val="en-US"/>
        </w:rPr>
        <w:t>A.Lovell</w:t>
      </w:r>
      <w:proofErr w:type="spellEnd"/>
      <w:proofErr w:type="gramEnd"/>
      <w:r w:rsidRPr="00B60B17">
        <w:rPr>
          <w:lang w:val="en-US"/>
        </w:rPr>
        <w:t xml:space="preserve">. 1994. </w:t>
      </w:r>
      <w:r w:rsidRPr="00B60B17">
        <w:rPr>
          <w:i/>
          <w:iCs/>
          <w:lang w:val="en-US"/>
        </w:rPr>
        <w:t>Production Frontiers,</w:t>
      </w:r>
      <w:r w:rsidRPr="00B60B17">
        <w:rPr>
          <w:lang w:val="en-US"/>
        </w:rPr>
        <w:t xml:space="preserve"> New York: Cambridge University Press.</w:t>
      </w:r>
    </w:p>
    <w:p w:rsidR="00762D51" w:rsidRPr="00B60B17" w:rsidRDefault="00762D51" w:rsidP="00B60B17">
      <w:pPr>
        <w:pStyle w:val="Bibliography"/>
        <w:numPr>
          <w:ilvl w:val="0"/>
          <w:numId w:val="17"/>
        </w:numPr>
        <w:jc w:val="both"/>
      </w:pPr>
      <w:bookmarkStart w:id="4" w:name="ref-fidrmuc2016foreign"/>
      <w:proofErr w:type="spellStart"/>
      <w:r w:rsidRPr="00B60B17">
        <w:rPr>
          <w:lang w:val="en-US"/>
        </w:rPr>
        <w:lastRenderedPageBreak/>
        <w:t>Fidrmuc</w:t>
      </w:r>
      <w:proofErr w:type="spellEnd"/>
      <w:r w:rsidRPr="00B60B17">
        <w:rPr>
          <w:lang w:val="en-US"/>
        </w:rPr>
        <w:t xml:space="preserve"> J., </w:t>
      </w:r>
      <w:proofErr w:type="spellStart"/>
      <w:r w:rsidRPr="00B60B17">
        <w:rPr>
          <w:lang w:val="en-US"/>
        </w:rPr>
        <w:t>Fidrmuc</w:t>
      </w:r>
      <w:proofErr w:type="spellEnd"/>
      <w:r w:rsidRPr="00B60B17">
        <w:rPr>
          <w:lang w:val="en-US"/>
        </w:rPr>
        <w:t xml:space="preserve"> J. 2016. “Foreign Languages and Trade: Evidence from a Natural Experiment.” </w:t>
      </w:r>
      <w:proofErr w:type="spellStart"/>
      <w:r w:rsidRPr="00B60B17">
        <w:rPr>
          <w:i/>
        </w:rPr>
        <w:t>Empirical</w:t>
      </w:r>
      <w:proofErr w:type="spellEnd"/>
      <w:r w:rsidRPr="00B60B17">
        <w:rPr>
          <w:i/>
        </w:rPr>
        <w:t xml:space="preserve"> </w:t>
      </w:r>
      <w:proofErr w:type="spellStart"/>
      <w:r w:rsidRPr="00B60B17">
        <w:rPr>
          <w:i/>
        </w:rPr>
        <w:t>Economics</w:t>
      </w:r>
      <w:proofErr w:type="spellEnd"/>
      <w:r w:rsidRPr="00B60B17">
        <w:rPr>
          <w:i/>
        </w:rPr>
        <w:t>,</w:t>
      </w:r>
      <w:r w:rsidRPr="00B60B17">
        <w:t xml:space="preserve"> 50, </w:t>
      </w:r>
      <w:proofErr w:type="spellStart"/>
      <w:r w:rsidRPr="00B60B17">
        <w:t>pp</w:t>
      </w:r>
      <w:proofErr w:type="spellEnd"/>
      <w:r w:rsidRPr="00B60B17">
        <w:t>. 31–49.</w:t>
      </w:r>
    </w:p>
    <w:bookmarkEnd w:id="4"/>
    <w:p w:rsidR="00762D51" w:rsidRPr="00B60B17" w:rsidRDefault="00762D51" w:rsidP="00B60B17">
      <w:pPr>
        <w:pStyle w:val="Bibliography"/>
        <w:numPr>
          <w:ilvl w:val="0"/>
          <w:numId w:val="17"/>
        </w:numPr>
        <w:jc w:val="both"/>
      </w:pPr>
      <w:r w:rsidRPr="00B60B17">
        <w:rPr>
          <w:lang w:val="en-US"/>
        </w:rPr>
        <w:t xml:space="preserve">Fuchs A., </w:t>
      </w:r>
      <w:proofErr w:type="spellStart"/>
      <w:r w:rsidRPr="00B60B17">
        <w:rPr>
          <w:lang w:val="en-US"/>
        </w:rPr>
        <w:t>Gehring</w:t>
      </w:r>
      <w:proofErr w:type="spellEnd"/>
      <w:r w:rsidRPr="00B60B17">
        <w:rPr>
          <w:lang w:val="en-US"/>
        </w:rPr>
        <w:t xml:space="preserve"> K. 2017. “The Home Bias in Sovereign Ratings.” </w:t>
      </w:r>
      <w:proofErr w:type="spellStart"/>
      <w:r w:rsidRPr="00B60B17">
        <w:rPr>
          <w:i/>
        </w:rPr>
        <w:t>Journal</w:t>
      </w:r>
      <w:proofErr w:type="spellEnd"/>
      <w:r w:rsidRPr="00B60B17">
        <w:rPr>
          <w:i/>
        </w:rPr>
        <w:t xml:space="preserve"> </w:t>
      </w:r>
      <w:proofErr w:type="spellStart"/>
      <w:r w:rsidRPr="00B60B17">
        <w:rPr>
          <w:i/>
        </w:rPr>
        <w:t>of</w:t>
      </w:r>
      <w:proofErr w:type="spellEnd"/>
      <w:r w:rsidRPr="00B60B17">
        <w:rPr>
          <w:i/>
        </w:rPr>
        <w:t xml:space="preserve"> </w:t>
      </w:r>
      <w:proofErr w:type="spellStart"/>
      <w:r w:rsidRPr="00B60B17">
        <w:rPr>
          <w:i/>
        </w:rPr>
        <w:t>the</w:t>
      </w:r>
      <w:proofErr w:type="spellEnd"/>
      <w:r w:rsidRPr="00B60B17">
        <w:rPr>
          <w:i/>
        </w:rPr>
        <w:t xml:space="preserve"> </w:t>
      </w:r>
      <w:proofErr w:type="spellStart"/>
      <w:r w:rsidRPr="00B60B17">
        <w:rPr>
          <w:i/>
        </w:rPr>
        <w:t>European</w:t>
      </w:r>
      <w:proofErr w:type="spellEnd"/>
      <w:r w:rsidRPr="00B60B17">
        <w:rPr>
          <w:i/>
        </w:rPr>
        <w:t xml:space="preserve"> </w:t>
      </w:r>
      <w:proofErr w:type="spellStart"/>
      <w:r w:rsidRPr="00B60B17">
        <w:rPr>
          <w:i/>
        </w:rPr>
        <w:t>Economic</w:t>
      </w:r>
      <w:proofErr w:type="spellEnd"/>
      <w:r w:rsidRPr="00B60B17">
        <w:rPr>
          <w:i/>
        </w:rPr>
        <w:t xml:space="preserve"> </w:t>
      </w:r>
      <w:proofErr w:type="spellStart"/>
      <w:r w:rsidRPr="00B60B17">
        <w:rPr>
          <w:i/>
        </w:rPr>
        <w:t>Association</w:t>
      </w:r>
      <w:proofErr w:type="spellEnd"/>
      <w:r w:rsidRPr="00B60B17">
        <w:rPr>
          <w:i/>
        </w:rPr>
        <w:t>,</w:t>
      </w:r>
      <w:r w:rsidRPr="00B60B17">
        <w:t xml:space="preserve"> 15, pp.1386–1423.</w:t>
      </w:r>
    </w:p>
    <w:p w:rsidR="00762D51" w:rsidRPr="00B60B17" w:rsidRDefault="00762D51" w:rsidP="00B60B17">
      <w:pPr>
        <w:pStyle w:val="Bibliography"/>
        <w:numPr>
          <w:ilvl w:val="0"/>
          <w:numId w:val="17"/>
        </w:numPr>
        <w:jc w:val="both"/>
      </w:pPr>
      <w:bookmarkStart w:id="5" w:name="ref-galvao-kato:2016"/>
      <w:proofErr w:type="spellStart"/>
      <w:r w:rsidRPr="00B60B17">
        <w:rPr>
          <w:lang w:val="en-US"/>
        </w:rPr>
        <w:t>Galvao</w:t>
      </w:r>
      <w:proofErr w:type="spellEnd"/>
      <w:r w:rsidRPr="00B60B17">
        <w:rPr>
          <w:lang w:val="en-US"/>
        </w:rPr>
        <w:t xml:space="preserve"> A. F., Kato K. 2016. “Smoothed quantile regression for panel data”. </w:t>
      </w:r>
      <w:proofErr w:type="spellStart"/>
      <w:r w:rsidRPr="00B60B17">
        <w:rPr>
          <w:i/>
        </w:rPr>
        <w:t>Journal</w:t>
      </w:r>
      <w:proofErr w:type="spellEnd"/>
      <w:r w:rsidRPr="00B60B17">
        <w:rPr>
          <w:i/>
        </w:rPr>
        <w:t xml:space="preserve"> </w:t>
      </w:r>
      <w:proofErr w:type="spellStart"/>
      <w:r w:rsidRPr="00B60B17">
        <w:rPr>
          <w:i/>
        </w:rPr>
        <w:t>of</w:t>
      </w:r>
      <w:proofErr w:type="spellEnd"/>
      <w:r w:rsidRPr="00B60B17">
        <w:rPr>
          <w:i/>
        </w:rPr>
        <w:t xml:space="preserve"> </w:t>
      </w:r>
      <w:proofErr w:type="spellStart"/>
      <w:r w:rsidRPr="00B60B17">
        <w:rPr>
          <w:i/>
        </w:rPr>
        <w:t>Econometrics</w:t>
      </w:r>
      <w:proofErr w:type="spellEnd"/>
      <w:r w:rsidRPr="00B60B17">
        <w:t xml:space="preserve">, 193 (1), </w:t>
      </w:r>
      <w:proofErr w:type="spellStart"/>
      <w:r w:rsidRPr="00B60B17">
        <w:t>pp</w:t>
      </w:r>
      <w:proofErr w:type="spellEnd"/>
      <w:r w:rsidRPr="00B60B17">
        <w:t>. 92–112.</w:t>
      </w:r>
    </w:p>
    <w:bookmarkEnd w:id="5"/>
    <w:p w:rsidR="00762D51" w:rsidRPr="00B60B17" w:rsidRDefault="00762D51" w:rsidP="00B60B17">
      <w:pPr>
        <w:numPr>
          <w:ilvl w:val="0"/>
          <w:numId w:val="17"/>
        </w:numPr>
        <w:tabs>
          <w:tab w:val="left" w:pos="851"/>
        </w:tabs>
        <w:jc w:val="both"/>
      </w:pPr>
      <w:r w:rsidRPr="00B60B17">
        <w:rPr>
          <w:lang w:val="en-US"/>
        </w:rPr>
        <w:t xml:space="preserve">Greene W. 2007 </w:t>
      </w:r>
      <w:r w:rsidRPr="00B60B17">
        <w:rPr>
          <w:i/>
          <w:iCs/>
          <w:lang w:val="en-US"/>
        </w:rPr>
        <w:t>LIMDEP version 9.0. Econometric Modelling Guide</w:t>
      </w:r>
      <w:r w:rsidRPr="00B60B17">
        <w:rPr>
          <w:lang w:val="en-US"/>
        </w:rPr>
        <w:t xml:space="preserve">. </w:t>
      </w:r>
      <w:r w:rsidRPr="00B60B17">
        <w:t xml:space="preserve">Vols.1-2. </w:t>
      </w:r>
      <w:proofErr w:type="spellStart"/>
      <w:r w:rsidRPr="00B60B17">
        <w:t>Econometric</w:t>
      </w:r>
      <w:proofErr w:type="spellEnd"/>
      <w:r w:rsidRPr="00B60B17">
        <w:t xml:space="preserve"> </w:t>
      </w:r>
      <w:proofErr w:type="spellStart"/>
      <w:r w:rsidRPr="00B60B17">
        <w:t>Software</w:t>
      </w:r>
      <w:proofErr w:type="spellEnd"/>
      <w:r w:rsidRPr="00B60B17">
        <w:t xml:space="preserve">, </w:t>
      </w:r>
      <w:proofErr w:type="spellStart"/>
      <w:r w:rsidRPr="00B60B17">
        <w:t>Australia</w:t>
      </w:r>
      <w:proofErr w:type="spellEnd"/>
      <w:r w:rsidRPr="00B60B17">
        <w:t xml:space="preserve">. </w:t>
      </w:r>
    </w:p>
    <w:p w:rsidR="00762D51" w:rsidRPr="00B60B17" w:rsidRDefault="00762D51" w:rsidP="00B60B17">
      <w:pPr>
        <w:widowControl w:val="0"/>
        <w:numPr>
          <w:ilvl w:val="0"/>
          <w:numId w:val="17"/>
        </w:numPr>
        <w:tabs>
          <w:tab w:val="left" w:pos="851"/>
        </w:tabs>
        <w:jc w:val="both"/>
        <w:rPr>
          <w:lang w:val="en-US"/>
        </w:rPr>
      </w:pPr>
      <w:r w:rsidRPr="00B60B17">
        <w:rPr>
          <w:lang w:val="en-US"/>
        </w:rPr>
        <w:t>Greene W. 2002. “Alternative Panel Data Estimators for Stochastic Frontier Models”. Working Paper. Department of Economics, Stern School of Business, New York University.</w:t>
      </w:r>
    </w:p>
    <w:p w:rsidR="00762D51" w:rsidRPr="00B60B17" w:rsidRDefault="00762D51" w:rsidP="00B60B17">
      <w:pPr>
        <w:pStyle w:val="FootnoteText"/>
        <w:numPr>
          <w:ilvl w:val="0"/>
          <w:numId w:val="17"/>
        </w:numPr>
        <w:tabs>
          <w:tab w:val="left" w:pos="851"/>
        </w:tabs>
        <w:jc w:val="both"/>
        <w:rPr>
          <w:rFonts w:ascii="Times New Roman" w:hAnsi="Times New Roman"/>
          <w:sz w:val="24"/>
          <w:szCs w:val="24"/>
          <w:lang w:val="en-US"/>
        </w:rPr>
      </w:pPr>
      <w:r w:rsidRPr="00B60B17">
        <w:rPr>
          <w:rFonts w:ascii="Times New Roman" w:hAnsi="Times New Roman"/>
          <w:sz w:val="24"/>
          <w:szCs w:val="24"/>
          <w:lang w:val="en-US"/>
        </w:rPr>
        <w:t>Greene, W. 2005. “</w:t>
      </w:r>
      <w:r w:rsidRPr="00B60B17">
        <w:rPr>
          <w:rFonts w:ascii="Times New Roman" w:eastAsia="SimSun" w:hAnsi="Times New Roman"/>
          <w:sz w:val="24"/>
          <w:szCs w:val="24"/>
          <w:lang w:val="en-US" w:eastAsia="zh-CN"/>
        </w:rPr>
        <w:t xml:space="preserve">Reconsidering heterogeneity in panel data estimators of the stochastic frontier model”, </w:t>
      </w:r>
      <w:r w:rsidRPr="00B60B17">
        <w:rPr>
          <w:rFonts w:ascii="Times New Roman" w:eastAsia="SimSun" w:hAnsi="Times New Roman"/>
          <w:i/>
          <w:iCs/>
          <w:sz w:val="24"/>
          <w:szCs w:val="24"/>
          <w:lang w:val="en-US" w:eastAsia="zh-CN"/>
        </w:rPr>
        <w:t>Journal of Econometrics</w:t>
      </w:r>
      <w:r w:rsidRPr="00B60B17">
        <w:rPr>
          <w:rFonts w:ascii="Times New Roman" w:eastAsia="SimSun" w:hAnsi="Times New Roman"/>
          <w:sz w:val="24"/>
          <w:szCs w:val="24"/>
          <w:lang w:val="en-US" w:eastAsia="zh-CN"/>
        </w:rPr>
        <w:t>, Vol.126, pp.269–303.</w:t>
      </w:r>
    </w:p>
    <w:p w:rsidR="00762D51" w:rsidRPr="00B60B17" w:rsidRDefault="00762D51" w:rsidP="00B60B17">
      <w:pPr>
        <w:pStyle w:val="Bibliography"/>
        <w:numPr>
          <w:ilvl w:val="0"/>
          <w:numId w:val="17"/>
        </w:numPr>
        <w:jc w:val="both"/>
        <w:rPr>
          <w:lang w:val="en-US"/>
        </w:rPr>
      </w:pPr>
      <w:bookmarkStart w:id="6" w:name="ref-koenker:2005"/>
      <w:proofErr w:type="spellStart"/>
      <w:r w:rsidRPr="00B60B17">
        <w:rPr>
          <w:lang w:val="en-US"/>
        </w:rPr>
        <w:t>Koenker</w:t>
      </w:r>
      <w:proofErr w:type="spellEnd"/>
      <w:r w:rsidRPr="00B60B17">
        <w:rPr>
          <w:lang w:val="en-US"/>
        </w:rPr>
        <w:t xml:space="preserve"> R. 2005. </w:t>
      </w:r>
      <w:r w:rsidRPr="00B60B17">
        <w:rPr>
          <w:i/>
          <w:lang w:val="en-US"/>
        </w:rPr>
        <w:t>Quantile regression</w:t>
      </w:r>
      <w:r w:rsidRPr="00B60B17">
        <w:rPr>
          <w:lang w:val="en-US"/>
        </w:rPr>
        <w:t xml:space="preserve">. </w:t>
      </w:r>
      <w:proofErr w:type="spellStart"/>
      <w:r w:rsidRPr="00B60B17">
        <w:rPr>
          <w:lang w:val="en-US"/>
        </w:rPr>
        <w:t>Cambrdige</w:t>
      </w:r>
      <w:proofErr w:type="spellEnd"/>
      <w:r w:rsidRPr="00B60B17">
        <w:rPr>
          <w:lang w:val="en-US"/>
        </w:rPr>
        <w:t xml:space="preserve"> University Press.</w:t>
      </w:r>
    </w:p>
    <w:p w:rsidR="00762D51" w:rsidRPr="00B60B17" w:rsidRDefault="00762D51" w:rsidP="00B60B17">
      <w:pPr>
        <w:pStyle w:val="Bibliography"/>
        <w:numPr>
          <w:ilvl w:val="0"/>
          <w:numId w:val="17"/>
        </w:numPr>
        <w:jc w:val="both"/>
      </w:pPr>
      <w:bookmarkStart w:id="7" w:name="ref-koenker-bassett:1978"/>
      <w:bookmarkEnd w:id="6"/>
      <w:proofErr w:type="spellStart"/>
      <w:r w:rsidRPr="00B60B17">
        <w:rPr>
          <w:lang w:val="en-US"/>
        </w:rPr>
        <w:t>Koenker</w:t>
      </w:r>
      <w:proofErr w:type="spellEnd"/>
      <w:r w:rsidRPr="00B60B17">
        <w:rPr>
          <w:lang w:val="en-US"/>
        </w:rPr>
        <w:t xml:space="preserve"> R., Bassett G. 1978. “Regression quantiles”. </w:t>
      </w:r>
      <w:proofErr w:type="spellStart"/>
      <w:r w:rsidRPr="00B60B17">
        <w:rPr>
          <w:i/>
        </w:rPr>
        <w:t>Econometrica</w:t>
      </w:r>
      <w:proofErr w:type="spellEnd"/>
      <w:r w:rsidRPr="00B60B17">
        <w:t xml:space="preserve">, 46 (1), </w:t>
      </w:r>
      <w:proofErr w:type="spellStart"/>
      <w:r w:rsidRPr="00B60B17">
        <w:t>pp</w:t>
      </w:r>
      <w:proofErr w:type="spellEnd"/>
      <w:r w:rsidRPr="00B60B17">
        <w:t>. 33–50.</w:t>
      </w:r>
    </w:p>
    <w:p w:rsidR="00762D51" w:rsidRPr="00B60B17" w:rsidRDefault="00762D51" w:rsidP="00B60B17">
      <w:pPr>
        <w:numPr>
          <w:ilvl w:val="0"/>
          <w:numId w:val="17"/>
        </w:numPr>
        <w:tabs>
          <w:tab w:val="left" w:pos="851"/>
        </w:tabs>
        <w:jc w:val="both"/>
      </w:pPr>
      <w:bookmarkStart w:id="8" w:name="ref-fuchs2017home"/>
      <w:bookmarkEnd w:id="7"/>
      <w:proofErr w:type="spellStart"/>
      <w:r w:rsidRPr="00B60B17">
        <w:rPr>
          <w:lang w:val="en-US"/>
        </w:rPr>
        <w:t>Laffont</w:t>
      </w:r>
      <w:proofErr w:type="spellEnd"/>
      <w:r w:rsidRPr="00B60B17">
        <w:rPr>
          <w:lang w:val="en-US"/>
        </w:rPr>
        <w:t xml:space="preserve"> J, </w:t>
      </w:r>
      <w:proofErr w:type="spellStart"/>
      <w:r w:rsidRPr="00B60B17">
        <w:rPr>
          <w:lang w:val="en-US"/>
        </w:rPr>
        <w:t>Tirole</w:t>
      </w:r>
      <w:proofErr w:type="spellEnd"/>
      <w:r w:rsidRPr="00B60B17">
        <w:rPr>
          <w:lang w:val="en-US"/>
        </w:rPr>
        <w:t xml:space="preserve"> J. 1993. </w:t>
      </w:r>
      <w:r w:rsidRPr="00B60B17">
        <w:rPr>
          <w:i/>
          <w:iCs/>
          <w:lang w:val="en-US"/>
        </w:rPr>
        <w:t>A Theory of Incentives in Procurement and Regulation</w:t>
      </w:r>
      <w:r w:rsidRPr="00B60B17">
        <w:rPr>
          <w:lang w:val="en-US"/>
        </w:rPr>
        <w:t xml:space="preserve">. </w:t>
      </w:r>
      <w:r w:rsidRPr="00B60B17">
        <w:t xml:space="preserve">MIT </w:t>
      </w:r>
      <w:proofErr w:type="spellStart"/>
      <w:r w:rsidRPr="00B60B17">
        <w:t>Press</w:t>
      </w:r>
      <w:proofErr w:type="spellEnd"/>
      <w:r w:rsidRPr="00B60B17">
        <w:t>.</w:t>
      </w:r>
    </w:p>
    <w:p w:rsidR="00762D51" w:rsidRPr="00B60B17" w:rsidRDefault="00762D51" w:rsidP="00B60B17">
      <w:pPr>
        <w:numPr>
          <w:ilvl w:val="0"/>
          <w:numId w:val="17"/>
        </w:numPr>
        <w:tabs>
          <w:tab w:val="left" w:pos="851"/>
        </w:tabs>
        <w:jc w:val="both"/>
      </w:pPr>
      <w:r w:rsidRPr="00B60B17">
        <w:rPr>
          <w:lang w:val="en-US"/>
        </w:rPr>
        <w:t xml:space="preserve">Shleifer A. 1985. “A theory of yardstick competition”. </w:t>
      </w:r>
      <w:proofErr w:type="spellStart"/>
      <w:r w:rsidRPr="00B60B17">
        <w:rPr>
          <w:i/>
          <w:iCs/>
        </w:rPr>
        <w:t>Rand</w:t>
      </w:r>
      <w:proofErr w:type="spellEnd"/>
      <w:r w:rsidRPr="00B60B17">
        <w:rPr>
          <w:i/>
          <w:iCs/>
        </w:rPr>
        <w:t xml:space="preserve"> </w:t>
      </w:r>
      <w:proofErr w:type="spellStart"/>
      <w:r w:rsidRPr="00B60B17">
        <w:rPr>
          <w:i/>
          <w:iCs/>
        </w:rPr>
        <w:t>Journal</w:t>
      </w:r>
      <w:proofErr w:type="spellEnd"/>
      <w:r w:rsidRPr="00B60B17">
        <w:rPr>
          <w:i/>
          <w:iCs/>
        </w:rPr>
        <w:t xml:space="preserve"> </w:t>
      </w:r>
      <w:proofErr w:type="spellStart"/>
      <w:r w:rsidRPr="00B60B17">
        <w:rPr>
          <w:i/>
          <w:iCs/>
        </w:rPr>
        <w:t>of</w:t>
      </w:r>
      <w:proofErr w:type="spellEnd"/>
      <w:r w:rsidRPr="00B60B17">
        <w:rPr>
          <w:i/>
          <w:iCs/>
        </w:rPr>
        <w:t xml:space="preserve"> </w:t>
      </w:r>
      <w:proofErr w:type="spellStart"/>
      <w:r w:rsidRPr="00B60B17">
        <w:rPr>
          <w:i/>
          <w:iCs/>
        </w:rPr>
        <w:t>Economics</w:t>
      </w:r>
      <w:proofErr w:type="spellEnd"/>
      <w:r w:rsidRPr="00B60B17">
        <w:t xml:space="preserve"> </w:t>
      </w:r>
      <w:r w:rsidRPr="00B60B17">
        <w:rPr>
          <w:bCs/>
        </w:rPr>
        <w:t>16</w:t>
      </w:r>
      <w:r w:rsidRPr="00B60B17">
        <w:t>: 319-327.</w:t>
      </w:r>
    </w:p>
    <w:p w:rsidR="00B60B17" w:rsidRPr="00B60B17" w:rsidRDefault="00B60B17" w:rsidP="00B60B17">
      <w:pPr>
        <w:numPr>
          <w:ilvl w:val="0"/>
          <w:numId w:val="17"/>
        </w:numPr>
        <w:tabs>
          <w:tab w:val="left" w:pos="851"/>
        </w:tabs>
        <w:jc w:val="both"/>
        <w:rPr>
          <w:lang w:val="en-US"/>
        </w:rPr>
      </w:pPr>
      <w:bookmarkStart w:id="9" w:name="_Ref299203251"/>
      <w:proofErr w:type="spellStart"/>
      <w:r w:rsidRPr="00B60B17">
        <w:rPr>
          <w:lang w:val="en-US"/>
        </w:rPr>
        <w:t>Simar</w:t>
      </w:r>
      <w:proofErr w:type="spellEnd"/>
      <w:r w:rsidRPr="00B60B17">
        <w:rPr>
          <w:lang w:val="en-US"/>
        </w:rPr>
        <w:t xml:space="preserve">, L. and P. Wilson. 1998. “Sensitivity Analysis of Efficiency Scores: How to Bootstrap in Nonparametric Frontier”, </w:t>
      </w:r>
      <w:r w:rsidRPr="00B60B17">
        <w:rPr>
          <w:i/>
          <w:iCs/>
          <w:lang w:val="en-US"/>
        </w:rPr>
        <w:t>Management Science</w:t>
      </w:r>
      <w:r w:rsidRPr="00B60B17">
        <w:rPr>
          <w:lang w:val="en-US"/>
        </w:rPr>
        <w:t>, Vol. 44, No.1, pp. 49</w:t>
      </w:r>
      <w:r w:rsidRPr="00B60B17">
        <w:rPr>
          <w:color w:val="141314"/>
          <w:lang w:val="en-US"/>
        </w:rPr>
        <w:t>–</w:t>
      </w:r>
      <w:r w:rsidRPr="00B60B17">
        <w:rPr>
          <w:lang w:val="en-US"/>
        </w:rPr>
        <w:t>61.</w:t>
      </w:r>
      <w:bookmarkEnd w:id="9"/>
    </w:p>
    <w:p w:rsidR="00B60B17" w:rsidRPr="00B60B17" w:rsidRDefault="00B60B17" w:rsidP="00B60B17">
      <w:pPr>
        <w:pStyle w:val="reference"/>
        <w:numPr>
          <w:ilvl w:val="0"/>
          <w:numId w:val="17"/>
        </w:numPr>
        <w:tabs>
          <w:tab w:val="left" w:pos="851"/>
        </w:tabs>
        <w:rPr>
          <w:rFonts w:ascii="Times New Roman" w:hAnsi="Times New Roman"/>
          <w:sz w:val="24"/>
        </w:rPr>
      </w:pPr>
      <w:bookmarkStart w:id="10" w:name="_Ref299203444"/>
      <w:proofErr w:type="spellStart"/>
      <w:r w:rsidRPr="00B60B17">
        <w:rPr>
          <w:rFonts w:ascii="Times New Roman" w:hAnsi="Times New Roman"/>
          <w:sz w:val="24"/>
        </w:rPr>
        <w:t>Simar</w:t>
      </w:r>
      <w:proofErr w:type="spellEnd"/>
      <w:r w:rsidRPr="00B60B17">
        <w:rPr>
          <w:rFonts w:ascii="Times New Roman" w:hAnsi="Times New Roman"/>
          <w:sz w:val="24"/>
        </w:rPr>
        <w:t>, L. and P. Wilson. 2007. “</w:t>
      </w:r>
      <w:r w:rsidRPr="00B60B17">
        <w:rPr>
          <w:rFonts w:ascii="Times New Roman" w:eastAsia="SimSun" w:hAnsi="Times New Roman"/>
          <w:color w:val="231F20"/>
          <w:sz w:val="24"/>
        </w:rPr>
        <w:t xml:space="preserve">Estimation and inference in two-stage, semi-parametric models of production processes”, </w:t>
      </w:r>
      <w:r w:rsidRPr="00B60B17">
        <w:rPr>
          <w:rFonts w:ascii="Times New Roman" w:eastAsia="SimSun" w:hAnsi="Times New Roman"/>
          <w:i/>
          <w:iCs/>
          <w:color w:val="231F20"/>
          <w:sz w:val="24"/>
        </w:rPr>
        <w:t xml:space="preserve">Journal </w:t>
      </w:r>
      <w:proofErr w:type="gramStart"/>
      <w:r w:rsidRPr="00B60B17">
        <w:rPr>
          <w:rFonts w:ascii="Times New Roman" w:eastAsia="SimSun" w:hAnsi="Times New Roman"/>
          <w:i/>
          <w:iCs/>
          <w:color w:val="231F20"/>
          <w:sz w:val="24"/>
        </w:rPr>
        <w:t>of  Econometrics</w:t>
      </w:r>
      <w:proofErr w:type="gramEnd"/>
      <w:r w:rsidRPr="00B60B17">
        <w:rPr>
          <w:rFonts w:ascii="Times New Roman" w:eastAsia="SimSun" w:hAnsi="Times New Roman"/>
          <w:i/>
          <w:iCs/>
          <w:color w:val="231F20"/>
          <w:sz w:val="24"/>
        </w:rPr>
        <w:t xml:space="preserve">, </w:t>
      </w:r>
      <w:r w:rsidRPr="00B60B17">
        <w:rPr>
          <w:rFonts w:ascii="Times New Roman" w:eastAsia="SimSun" w:hAnsi="Times New Roman"/>
          <w:color w:val="231F20"/>
          <w:sz w:val="24"/>
        </w:rPr>
        <w:t>Vol. 136, pp</w:t>
      </w:r>
      <w:r w:rsidRPr="00B60B17">
        <w:rPr>
          <w:rFonts w:ascii="Times New Roman" w:eastAsia="SimSun" w:hAnsi="Times New Roman"/>
          <w:b/>
          <w:bCs/>
          <w:color w:val="231F20"/>
          <w:sz w:val="24"/>
        </w:rPr>
        <w:t>.</w:t>
      </w:r>
      <w:r w:rsidRPr="00B60B17">
        <w:rPr>
          <w:rFonts w:ascii="Times New Roman" w:eastAsia="SimSun" w:hAnsi="Times New Roman"/>
          <w:color w:val="231F20"/>
          <w:sz w:val="24"/>
        </w:rPr>
        <w:t xml:space="preserve"> 31–64</w:t>
      </w:r>
      <w:bookmarkEnd w:id="10"/>
      <w:r w:rsidRPr="00B60B17">
        <w:rPr>
          <w:rFonts w:ascii="Times New Roman" w:eastAsia="SimSun" w:hAnsi="Times New Roman"/>
          <w:color w:val="231F20"/>
          <w:sz w:val="24"/>
        </w:rPr>
        <w:t>.</w:t>
      </w:r>
    </w:p>
    <w:p w:rsidR="00762D51" w:rsidRPr="00B60B17" w:rsidRDefault="00762D51" w:rsidP="00B60B17">
      <w:pPr>
        <w:pStyle w:val="reference"/>
        <w:numPr>
          <w:ilvl w:val="0"/>
          <w:numId w:val="17"/>
        </w:numPr>
        <w:tabs>
          <w:tab w:val="left" w:pos="851"/>
        </w:tabs>
        <w:rPr>
          <w:rFonts w:ascii="Times New Roman" w:hAnsi="Times New Roman"/>
          <w:sz w:val="24"/>
        </w:rPr>
      </w:pPr>
      <w:bookmarkStart w:id="11" w:name="_Ref299202129"/>
      <w:r w:rsidRPr="00B60B17">
        <w:rPr>
          <w:rFonts w:ascii="Times New Roman" w:hAnsi="Times New Roman"/>
          <w:sz w:val="24"/>
          <w:lang w:eastAsia="he-IL" w:bidi="he-IL"/>
        </w:rPr>
        <w:t>Tone, K. 2002 “</w:t>
      </w:r>
      <w:r w:rsidRPr="00B60B17">
        <w:rPr>
          <w:rFonts w:ascii="Times New Roman" w:hAnsi="Times New Roman"/>
          <w:sz w:val="24"/>
        </w:rPr>
        <w:t xml:space="preserve">A Strange Case of the Cost and Allocative Efficiencies in DEA”, </w:t>
      </w:r>
      <w:r w:rsidRPr="00B60B17">
        <w:rPr>
          <w:rFonts w:ascii="Times New Roman" w:hAnsi="Times New Roman"/>
          <w:i/>
          <w:iCs/>
          <w:sz w:val="24"/>
        </w:rPr>
        <w:t xml:space="preserve">Journal of the Operational Research Society, </w:t>
      </w:r>
      <w:r w:rsidRPr="00B60B17">
        <w:rPr>
          <w:rFonts w:ascii="Times New Roman" w:hAnsi="Times New Roman"/>
          <w:sz w:val="24"/>
        </w:rPr>
        <w:t>Vol. 53, No.11, pp. 1225</w:t>
      </w:r>
      <w:r w:rsidRPr="00B60B17">
        <w:rPr>
          <w:rFonts w:ascii="Times New Roman" w:hAnsi="Times New Roman"/>
          <w:color w:val="141314"/>
          <w:sz w:val="24"/>
        </w:rPr>
        <w:t>–</w:t>
      </w:r>
      <w:r w:rsidRPr="00B60B17">
        <w:rPr>
          <w:rFonts w:ascii="Times New Roman" w:hAnsi="Times New Roman"/>
          <w:sz w:val="24"/>
        </w:rPr>
        <w:t>1231</w:t>
      </w:r>
      <w:bookmarkEnd w:id="11"/>
      <w:r w:rsidRPr="00B60B17">
        <w:rPr>
          <w:rFonts w:ascii="Times New Roman" w:hAnsi="Times New Roman"/>
          <w:sz w:val="24"/>
        </w:rPr>
        <w:t>.</w:t>
      </w:r>
    </w:p>
    <w:p w:rsidR="00762D51" w:rsidRPr="00B60B17" w:rsidRDefault="00762D51" w:rsidP="00B60B17">
      <w:pPr>
        <w:pStyle w:val="Bibliography"/>
        <w:numPr>
          <w:ilvl w:val="0"/>
          <w:numId w:val="17"/>
        </w:numPr>
        <w:jc w:val="both"/>
      </w:pPr>
      <w:bookmarkStart w:id="12" w:name="ref-wedel-desarbo:2002"/>
      <w:r w:rsidRPr="00B60B17">
        <w:rPr>
          <w:lang w:val="en-US"/>
        </w:rPr>
        <w:t xml:space="preserve">Wedel, M., and W. S. </w:t>
      </w:r>
      <w:proofErr w:type="spellStart"/>
      <w:r w:rsidRPr="00B60B17">
        <w:rPr>
          <w:lang w:val="en-US"/>
        </w:rPr>
        <w:t>DeSarbo</w:t>
      </w:r>
      <w:proofErr w:type="spellEnd"/>
      <w:r w:rsidRPr="00B60B17">
        <w:rPr>
          <w:lang w:val="en-US"/>
        </w:rPr>
        <w:t xml:space="preserve">. 2002. “Mixture Regression Models.” In </w:t>
      </w:r>
      <w:r w:rsidRPr="00B60B17">
        <w:rPr>
          <w:i/>
          <w:lang w:val="en-US"/>
        </w:rPr>
        <w:t>Applied Latent Class Analysis</w:t>
      </w:r>
      <w:r w:rsidRPr="00B60B17">
        <w:rPr>
          <w:lang w:val="en-US"/>
        </w:rPr>
        <w:t xml:space="preserve">, edited by J. A. </w:t>
      </w:r>
      <w:proofErr w:type="spellStart"/>
      <w:r w:rsidRPr="00B60B17">
        <w:rPr>
          <w:lang w:val="en-US"/>
        </w:rPr>
        <w:t>Hagenaars</w:t>
      </w:r>
      <w:proofErr w:type="spellEnd"/>
      <w:r w:rsidRPr="00B60B17">
        <w:rPr>
          <w:lang w:val="en-US"/>
        </w:rPr>
        <w:t xml:space="preserve"> and A. L. McCutcheon, 366–70. </w:t>
      </w:r>
      <w:proofErr w:type="spellStart"/>
      <w:r w:rsidRPr="00B60B17">
        <w:t>Cambridge</w:t>
      </w:r>
      <w:proofErr w:type="spellEnd"/>
      <w:r w:rsidRPr="00B60B17">
        <w:t xml:space="preserve"> </w:t>
      </w:r>
      <w:proofErr w:type="spellStart"/>
      <w:r w:rsidRPr="00B60B17">
        <w:t>University</w:t>
      </w:r>
      <w:proofErr w:type="spellEnd"/>
      <w:r w:rsidRPr="00B60B17">
        <w:t xml:space="preserve"> </w:t>
      </w:r>
      <w:proofErr w:type="spellStart"/>
      <w:r w:rsidRPr="00B60B17">
        <w:t>Press</w:t>
      </w:r>
      <w:proofErr w:type="spellEnd"/>
      <w:r w:rsidRPr="00B60B17">
        <w:t>.</w:t>
      </w:r>
    </w:p>
    <w:p w:rsidR="00762D51" w:rsidRPr="00B60B17" w:rsidRDefault="00762D51" w:rsidP="00B60B17">
      <w:pPr>
        <w:pStyle w:val="Bibliography"/>
        <w:numPr>
          <w:ilvl w:val="0"/>
          <w:numId w:val="17"/>
        </w:numPr>
        <w:jc w:val="both"/>
      </w:pPr>
      <w:bookmarkStart w:id="13" w:name="ref-wooldridge:2010"/>
      <w:bookmarkEnd w:id="8"/>
      <w:bookmarkEnd w:id="12"/>
      <w:r w:rsidRPr="00B60B17">
        <w:rPr>
          <w:lang w:val="en-US"/>
        </w:rPr>
        <w:t xml:space="preserve">Wooldridge J. M. 2010. </w:t>
      </w:r>
      <w:r w:rsidRPr="00B60B17">
        <w:rPr>
          <w:i/>
          <w:lang w:val="en-US"/>
        </w:rPr>
        <w:t>Econometric Analysis of Cross Section and Panel Data</w:t>
      </w:r>
      <w:r w:rsidRPr="00B60B17">
        <w:rPr>
          <w:lang w:val="en-US"/>
        </w:rPr>
        <w:t xml:space="preserve">. </w:t>
      </w:r>
      <w:r w:rsidRPr="00B60B17">
        <w:t xml:space="preserve">MIT </w:t>
      </w:r>
      <w:proofErr w:type="spellStart"/>
      <w:r w:rsidRPr="00B60B17">
        <w:t>press</w:t>
      </w:r>
      <w:proofErr w:type="spellEnd"/>
      <w:r w:rsidRPr="00B60B17">
        <w:t>.</w:t>
      </w:r>
      <w:bookmarkEnd w:id="13"/>
    </w:p>
    <w:p w:rsidR="00762D51" w:rsidRPr="00B60B17" w:rsidRDefault="00762D51" w:rsidP="00B60B17">
      <w:pPr>
        <w:pStyle w:val="Bibliography"/>
        <w:numPr>
          <w:ilvl w:val="0"/>
          <w:numId w:val="17"/>
        </w:numPr>
        <w:jc w:val="both"/>
        <w:rPr>
          <w:lang w:val="en-US"/>
        </w:rPr>
      </w:pPr>
      <w:bookmarkStart w:id="14" w:name="ref-wouterse:2013"/>
      <w:proofErr w:type="spellStart"/>
      <w:r w:rsidRPr="00B60B17">
        <w:rPr>
          <w:lang w:val="en-US"/>
        </w:rPr>
        <w:t>Wouterse</w:t>
      </w:r>
      <w:proofErr w:type="spellEnd"/>
      <w:r w:rsidRPr="00B60B17">
        <w:rPr>
          <w:lang w:val="en-US"/>
        </w:rPr>
        <w:t xml:space="preserve">, Bram, </w:t>
      </w:r>
      <w:proofErr w:type="spellStart"/>
      <w:r w:rsidRPr="00B60B17">
        <w:rPr>
          <w:lang w:val="en-US"/>
        </w:rPr>
        <w:t>Martijn</w:t>
      </w:r>
      <w:proofErr w:type="spellEnd"/>
      <w:r w:rsidRPr="00B60B17">
        <w:rPr>
          <w:lang w:val="en-US"/>
        </w:rPr>
        <w:t xml:space="preserve"> </w:t>
      </w:r>
      <w:proofErr w:type="spellStart"/>
      <w:r w:rsidRPr="00B60B17">
        <w:rPr>
          <w:lang w:val="en-US"/>
        </w:rPr>
        <w:t>Huisman</w:t>
      </w:r>
      <w:proofErr w:type="spellEnd"/>
      <w:r w:rsidRPr="00B60B17">
        <w:rPr>
          <w:lang w:val="en-US"/>
        </w:rPr>
        <w:t xml:space="preserve">, Bert R </w:t>
      </w:r>
      <w:proofErr w:type="spellStart"/>
      <w:r w:rsidRPr="00B60B17">
        <w:rPr>
          <w:lang w:val="en-US"/>
        </w:rPr>
        <w:t>Meijboom</w:t>
      </w:r>
      <w:proofErr w:type="spellEnd"/>
      <w:r w:rsidRPr="00B60B17">
        <w:rPr>
          <w:lang w:val="en-US"/>
        </w:rPr>
        <w:t xml:space="preserve">, </w:t>
      </w:r>
      <w:proofErr w:type="spellStart"/>
      <w:r w:rsidRPr="00B60B17">
        <w:rPr>
          <w:lang w:val="en-US"/>
        </w:rPr>
        <w:t>Dorly</w:t>
      </w:r>
      <w:proofErr w:type="spellEnd"/>
      <w:r w:rsidRPr="00B60B17">
        <w:rPr>
          <w:lang w:val="en-US"/>
        </w:rPr>
        <w:t xml:space="preserve"> JH </w:t>
      </w:r>
      <w:proofErr w:type="spellStart"/>
      <w:r w:rsidRPr="00B60B17">
        <w:rPr>
          <w:lang w:val="en-US"/>
        </w:rPr>
        <w:t>Deeg</w:t>
      </w:r>
      <w:proofErr w:type="spellEnd"/>
      <w:r w:rsidRPr="00B60B17">
        <w:rPr>
          <w:lang w:val="en-US"/>
        </w:rPr>
        <w:t xml:space="preserve">, and Johan J Polder. 2013. “Modeling the Relationship Between Health and Health Care Expenditures Using a Latent Markov Model.” </w:t>
      </w:r>
      <w:r w:rsidRPr="00B60B17">
        <w:rPr>
          <w:i/>
          <w:lang w:val="en-US"/>
        </w:rPr>
        <w:t>Journal of Health Economics</w:t>
      </w:r>
      <w:r w:rsidRPr="00B60B17">
        <w:rPr>
          <w:lang w:val="en-US"/>
        </w:rPr>
        <w:t xml:space="preserve"> 32 (2): 423–39.</w:t>
      </w:r>
      <w:bookmarkEnd w:id="14"/>
    </w:p>
    <w:p w:rsidR="00E2445F" w:rsidRPr="00B60B17" w:rsidRDefault="00E2445F" w:rsidP="00B60B17">
      <w:pPr>
        <w:spacing w:after="200" w:line="276" w:lineRule="auto"/>
        <w:rPr>
          <w:lang w:val="en-US"/>
        </w:rPr>
      </w:pPr>
    </w:p>
    <w:p w:rsidR="00DB5E94" w:rsidRPr="00B60B17" w:rsidRDefault="00EC558B" w:rsidP="00B60B17">
      <w:pPr>
        <w:pStyle w:val="BodyText"/>
        <w:spacing w:line="360" w:lineRule="auto"/>
        <w:jc w:val="both"/>
        <w:rPr>
          <w:b/>
        </w:rPr>
      </w:pPr>
      <w:bookmarkStart w:id="15" w:name="_GoBack"/>
      <w:bookmarkEnd w:id="15"/>
      <w:r w:rsidRPr="00B60B17">
        <w:rPr>
          <w:lang w:val="en-US"/>
        </w:rPr>
        <w:tab/>
      </w:r>
      <w:r w:rsidR="00DB5E94" w:rsidRPr="00B60B17">
        <w:rPr>
          <w:b/>
        </w:rPr>
        <w:t xml:space="preserve">Публикации </w:t>
      </w:r>
      <w:r w:rsidR="00E2445F" w:rsidRPr="00B60B17">
        <w:rPr>
          <w:b/>
        </w:rPr>
        <w:t xml:space="preserve">автора </w:t>
      </w:r>
      <w:r w:rsidR="00DB5E94" w:rsidRPr="00B60B17">
        <w:rPr>
          <w:b/>
        </w:rPr>
        <w:t xml:space="preserve">по тематике диссертации </w:t>
      </w:r>
    </w:p>
    <w:p w:rsidR="00DB5E94" w:rsidRPr="00B60B17" w:rsidRDefault="00DB5E94" w:rsidP="00B60B17">
      <w:pPr>
        <w:jc w:val="both"/>
        <w:rPr>
          <w:b/>
          <w:lang w:val="en-US" w:eastAsia="ja-JP"/>
        </w:rPr>
      </w:pPr>
      <w:r w:rsidRPr="00B60B17">
        <w:rPr>
          <w:b/>
        </w:rPr>
        <w:t>Статьи</w:t>
      </w:r>
      <w:r w:rsidRPr="00B60B17">
        <w:rPr>
          <w:b/>
          <w:lang w:val="en-US"/>
        </w:rPr>
        <w:t xml:space="preserve"> </w:t>
      </w:r>
      <w:r w:rsidRPr="00B60B17">
        <w:rPr>
          <w:b/>
        </w:rPr>
        <w:t>журналах</w:t>
      </w:r>
      <w:r w:rsidRPr="00B60B17">
        <w:rPr>
          <w:b/>
          <w:lang w:val="en-US"/>
        </w:rPr>
        <w:t xml:space="preserve"> </w:t>
      </w:r>
      <w:r w:rsidRPr="00B60B17">
        <w:rPr>
          <w:b/>
          <w:lang w:val="en-US" w:eastAsia="ja-JP"/>
        </w:rPr>
        <w:t>Scopus / Web of Science</w:t>
      </w:r>
    </w:p>
    <w:p w:rsidR="00DB5E94" w:rsidRPr="00B60B17" w:rsidRDefault="00DB5E94" w:rsidP="00B60B17">
      <w:pPr>
        <w:jc w:val="both"/>
      </w:pPr>
      <w:r w:rsidRPr="00B60B17">
        <w:t xml:space="preserve">18 статей учетом двойного веса </w:t>
      </w:r>
      <w:r w:rsidRPr="00B60B17">
        <w:rPr>
          <w:lang w:eastAsia="ja-JP"/>
        </w:rPr>
        <w:t xml:space="preserve">Q1 в </w:t>
      </w:r>
      <w:proofErr w:type="spellStart"/>
      <w:r w:rsidRPr="00B60B17">
        <w:rPr>
          <w:lang w:eastAsia="ja-JP"/>
        </w:rPr>
        <w:t>WoS</w:t>
      </w:r>
      <w:proofErr w:type="spellEnd"/>
      <w:r w:rsidRPr="00B60B17">
        <w:rPr>
          <w:lang w:eastAsia="ja-JP"/>
        </w:rPr>
        <w:t>/</w:t>
      </w:r>
      <w:proofErr w:type="spellStart"/>
      <w:r w:rsidRPr="00B60B17">
        <w:rPr>
          <w:lang w:eastAsia="ja-JP"/>
        </w:rPr>
        <w:t>Scopus</w:t>
      </w:r>
      <w:proofErr w:type="spellEnd"/>
      <w:r w:rsidRPr="00B60B17">
        <w:t>,</w:t>
      </w:r>
    </w:p>
    <w:p w:rsidR="00DB5E94" w:rsidRPr="00B60B17" w:rsidRDefault="00DB5E94" w:rsidP="00B60B17">
      <w:pPr>
        <w:jc w:val="both"/>
      </w:pPr>
      <w:r w:rsidRPr="00B60B17">
        <w:t xml:space="preserve">в том числе </w:t>
      </w:r>
    </w:p>
    <w:p w:rsidR="00DB5E94" w:rsidRPr="00B60B17" w:rsidRDefault="00DB5E94" w:rsidP="00B60B17">
      <w:pPr>
        <w:jc w:val="both"/>
        <w:rPr>
          <w:lang w:eastAsia="ja-JP"/>
        </w:rPr>
      </w:pPr>
      <w:r w:rsidRPr="00B60B17">
        <w:t xml:space="preserve">7 «физических» статей </w:t>
      </w:r>
      <w:r w:rsidRPr="00B60B17">
        <w:rPr>
          <w:lang w:val="en-US" w:eastAsia="ja-JP"/>
        </w:rPr>
        <w:t>Q</w:t>
      </w:r>
      <w:r w:rsidRPr="00B60B17">
        <w:rPr>
          <w:lang w:eastAsia="ja-JP"/>
        </w:rPr>
        <w:t>1/</w:t>
      </w:r>
      <w:r w:rsidRPr="00B60B17">
        <w:rPr>
          <w:lang w:val="en-US" w:eastAsia="ja-JP"/>
        </w:rPr>
        <w:t>Q</w:t>
      </w:r>
      <w:r w:rsidRPr="00B60B17">
        <w:rPr>
          <w:lang w:eastAsia="ja-JP"/>
        </w:rPr>
        <w:t xml:space="preserve">2 в </w:t>
      </w:r>
      <w:r w:rsidRPr="00B60B17">
        <w:rPr>
          <w:lang w:val="en-US" w:eastAsia="ja-JP"/>
        </w:rPr>
        <w:t>Web</w:t>
      </w:r>
      <w:r w:rsidRPr="00B60B17">
        <w:rPr>
          <w:lang w:eastAsia="ja-JP"/>
        </w:rPr>
        <w:t xml:space="preserve"> </w:t>
      </w:r>
      <w:r w:rsidRPr="00B60B17">
        <w:rPr>
          <w:lang w:val="en-US" w:eastAsia="ja-JP"/>
        </w:rPr>
        <w:t>of</w:t>
      </w:r>
      <w:r w:rsidRPr="00B60B17">
        <w:rPr>
          <w:lang w:eastAsia="ja-JP"/>
        </w:rPr>
        <w:t xml:space="preserve"> </w:t>
      </w:r>
      <w:r w:rsidRPr="00B60B17">
        <w:rPr>
          <w:lang w:val="en-US" w:eastAsia="ja-JP"/>
        </w:rPr>
        <w:t>Science</w:t>
      </w:r>
      <w:r w:rsidRPr="00B60B17">
        <w:rPr>
          <w:lang w:eastAsia="ja-JP"/>
        </w:rPr>
        <w:t>/</w:t>
      </w:r>
      <w:r w:rsidRPr="00B60B17">
        <w:rPr>
          <w:lang w:val="en-US" w:eastAsia="ja-JP"/>
        </w:rPr>
        <w:t>Scopus</w:t>
      </w:r>
      <w:r w:rsidRPr="00B60B17">
        <w:rPr>
          <w:lang w:eastAsia="ja-JP"/>
        </w:rPr>
        <w:t xml:space="preserve">, </w:t>
      </w:r>
    </w:p>
    <w:p w:rsidR="00DB5E94" w:rsidRPr="00B60B17" w:rsidRDefault="00DB5E94" w:rsidP="00B60B17">
      <w:pPr>
        <w:jc w:val="both"/>
        <w:rPr>
          <w:lang w:eastAsia="ja-JP"/>
        </w:rPr>
      </w:pPr>
      <w:r w:rsidRPr="00B60B17">
        <w:rPr>
          <w:lang w:eastAsia="ja-JP"/>
        </w:rPr>
        <w:t xml:space="preserve">из них </w:t>
      </w:r>
      <w:r w:rsidRPr="00B60B17">
        <w:t xml:space="preserve">4 «физические» статьи </w:t>
      </w:r>
      <w:r w:rsidRPr="00B60B17">
        <w:rPr>
          <w:lang w:eastAsia="ja-JP"/>
        </w:rPr>
        <w:t xml:space="preserve">Q1 в </w:t>
      </w:r>
      <w:proofErr w:type="spellStart"/>
      <w:r w:rsidRPr="00B60B17">
        <w:rPr>
          <w:lang w:eastAsia="ja-JP"/>
        </w:rPr>
        <w:t>WoS</w:t>
      </w:r>
      <w:proofErr w:type="spellEnd"/>
      <w:r w:rsidRPr="00B60B17">
        <w:rPr>
          <w:lang w:eastAsia="ja-JP"/>
        </w:rPr>
        <w:t>/</w:t>
      </w:r>
      <w:proofErr w:type="spellStart"/>
      <w:r w:rsidRPr="00B60B17">
        <w:rPr>
          <w:lang w:eastAsia="ja-JP"/>
        </w:rPr>
        <w:t>Scopus</w:t>
      </w:r>
      <w:proofErr w:type="spellEnd"/>
      <w:r w:rsidRPr="00B60B17">
        <w:rPr>
          <w:lang w:eastAsia="ja-JP"/>
        </w:rPr>
        <w:t xml:space="preserve"> (3 без соавторов), </w:t>
      </w:r>
    </w:p>
    <w:p w:rsidR="00DB5E94" w:rsidRPr="00B60B17" w:rsidRDefault="00DB5E94" w:rsidP="00B60B17">
      <w:pPr>
        <w:jc w:val="both"/>
      </w:pPr>
      <w:r w:rsidRPr="00B60B17">
        <w:rPr>
          <w:lang w:eastAsia="ja-JP"/>
        </w:rPr>
        <w:t xml:space="preserve">            3 «физические» статьи Q2 в </w:t>
      </w:r>
      <w:proofErr w:type="spellStart"/>
      <w:r w:rsidRPr="00B60B17">
        <w:rPr>
          <w:lang w:eastAsia="ja-JP"/>
        </w:rPr>
        <w:t>Wos</w:t>
      </w:r>
      <w:proofErr w:type="spellEnd"/>
      <w:r w:rsidRPr="00B60B17">
        <w:rPr>
          <w:lang w:eastAsia="ja-JP"/>
        </w:rPr>
        <w:t>/</w:t>
      </w:r>
      <w:proofErr w:type="spellStart"/>
      <w:proofErr w:type="gramStart"/>
      <w:r w:rsidRPr="00B60B17">
        <w:rPr>
          <w:lang w:eastAsia="ja-JP"/>
        </w:rPr>
        <w:t>Scopus</w:t>
      </w:r>
      <w:proofErr w:type="spellEnd"/>
      <w:r w:rsidRPr="00B60B17">
        <w:rPr>
          <w:lang w:eastAsia="ja-JP"/>
        </w:rPr>
        <w:t xml:space="preserve">  (</w:t>
      </w:r>
      <w:proofErr w:type="gramEnd"/>
      <w:r w:rsidRPr="00B60B17">
        <w:rPr>
          <w:lang w:eastAsia="ja-JP"/>
        </w:rPr>
        <w:t xml:space="preserve">3 без соавторов), </w:t>
      </w:r>
    </w:p>
    <w:p w:rsidR="00DB5E94" w:rsidRPr="00B60B17" w:rsidRDefault="00DB5E94" w:rsidP="00B60B17">
      <w:pPr>
        <w:jc w:val="both"/>
        <w:rPr>
          <w:b/>
        </w:rPr>
      </w:pPr>
    </w:p>
    <w:p w:rsidR="00DB5E94" w:rsidRPr="00B60B17" w:rsidRDefault="00DB5E94" w:rsidP="00B60B17">
      <w:pPr>
        <w:jc w:val="both"/>
      </w:pPr>
      <w:r w:rsidRPr="00B60B17">
        <w:t xml:space="preserve">Журналы </w:t>
      </w:r>
      <w:r w:rsidRPr="00B60B17">
        <w:rPr>
          <w:lang w:val="en-US"/>
        </w:rPr>
        <w:t>Web</w:t>
      </w:r>
      <w:r w:rsidRPr="00B60B17">
        <w:t xml:space="preserve"> </w:t>
      </w:r>
      <w:r w:rsidRPr="00B60B17">
        <w:rPr>
          <w:lang w:val="en-US"/>
        </w:rPr>
        <w:t>of</w:t>
      </w:r>
      <w:r w:rsidRPr="00B60B17">
        <w:t xml:space="preserve"> </w:t>
      </w:r>
      <w:r w:rsidRPr="00B60B17">
        <w:rPr>
          <w:lang w:val="en-US"/>
        </w:rPr>
        <w:t>Science</w:t>
      </w:r>
      <w:r w:rsidRPr="00B60B17">
        <w:t>/</w:t>
      </w:r>
      <w:r w:rsidRPr="00B60B17">
        <w:rPr>
          <w:lang w:val="en-US"/>
        </w:rPr>
        <w:t>Scopus</w:t>
      </w:r>
      <w:r w:rsidRPr="00B60B17">
        <w:t xml:space="preserve"> </w:t>
      </w:r>
    </w:p>
    <w:p w:rsidR="00DB5E94" w:rsidRPr="00B60B17" w:rsidRDefault="00DB5E94" w:rsidP="00B60B17">
      <w:pPr>
        <w:numPr>
          <w:ilvl w:val="0"/>
          <w:numId w:val="15"/>
        </w:numPr>
        <w:jc w:val="both"/>
        <w:rPr>
          <w:lang w:val="en-US"/>
        </w:rPr>
      </w:pPr>
      <w:r w:rsidRPr="00B60B17">
        <w:rPr>
          <w:lang w:val="en-US" w:eastAsia="ja-JP"/>
        </w:rPr>
        <w:t xml:space="preserve">Besstremyannaya, G., Golovan, S. (2021) Measuring heterogeneity with fixed effect quantile regression: short panels and long panels, </w:t>
      </w:r>
      <w:r w:rsidRPr="00B60B17">
        <w:rPr>
          <w:i/>
          <w:lang w:val="en-US" w:eastAsia="ja-JP"/>
        </w:rPr>
        <w:t>Applied Econometrics</w:t>
      </w:r>
      <w:r w:rsidRPr="00B60B17">
        <w:rPr>
          <w:lang w:val="en-US" w:eastAsia="ja-JP"/>
        </w:rPr>
        <w:t>, 64.</w:t>
      </w:r>
    </w:p>
    <w:p w:rsidR="00DB5E94" w:rsidRPr="00B60B17" w:rsidRDefault="00DB5E94" w:rsidP="00B60B17">
      <w:pPr>
        <w:numPr>
          <w:ilvl w:val="0"/>
          <w:numId w:val="15"/>
        </w:numPr>
        <w:autoSpaceDE w:val="0"/>
        <w:autoSpaceDN w:val="0"/>
        <w:adjustRightInd w:val="0"/>
        <w:jc w:val="both"/>
      </w:pPr>
      <w:proofErr w:type="spellStart"/>
      <w:r w:rsidRPr="00B60B17">
        <w:t>Бесстремянная</w:t>
      </w:r>
      <w:proofErr w:type="spellEnd"/>
      <w:r w:rsidRPr="00B60B17">
        <w:t xml:space="preserve"> Г.Е. (2019</w:t>
      </w:r>
      <w:r w:rsidR="007F0043">
        <w:rPr>
          <w:lang w:val="en-US"/>
        </w:rPr>
        <w:t>a</w:t>
      </w:r>
      <w:r w:rsidRPr="00B60B17">
        <w:t xml:space="preserve">) Неформальные налоги на общественные блага в российских регионах </w:t>
      </w:r>
      <w:r w:rsidRPr="00B60B17">
        <w:rPr>
          <w:lang w:eastAsia="ja-JP"/>
        </w:rPr>
        <w:t>/Вопросы экономики.</w:t>
      </w:r>
      <w:r w:rsidRPr="00B60B17">
        <w:t xml:space="preserve"> </w:t>
      </w:r>
      <w:r w:rsidRPr="00B60B17">
        <w:rPr>
          <w:lang w:val="en-US"/>
        </w:rPr>
        <w:t>No</w:t>
      </w:r>
      <w:r w:rsidRPr="00B60B17">
        <w:t xml:space="preserve">.1, </w:t>
      </w:r>
      <w:r w:rsidRPr="00B60B17">
        <w:rPr>
          <w:lang w:val="en-US"/>
        </w:rPr>
        <w:t>Q</w:t>
      </w:r>
      <w:r w:rsidRPr="00B60B17">
        <w:t>2</w:t>
      </w:r>
    </w:p>
    <w:p w:rsidR="00DB5E94" w:rsidRPr="00B60B17" w:rsidRDefault="00DB5E94" w:rsidP="00B60B17">
      <w:pPr>
        <w:numPr>
          <w:ilvl w:val="0"/>
          <w:numId w:val="15"/>
        </w:numPr>
        <w:jc w:val="both"/>
        <w:rPr>
          <w:lang w:val="en-US"/>
        </w:rPr>
      </w:pPr>
      <w:r w:rsidRPr="00B60B17">
        <w:rPr>
          <w:lang w:val="en-US" w:eastAsia="ja-JP"/>
        </w:rPr>
        <w:t>Besstremyannaya, G., Golovan, S. (2019</w:t>
      </w:r>
      <w:r w:rsidR="007F0043">
        <w:rPr>
          <w:lang w:val="en-US" w:eastAsia="ja-JP"/>
        </w:rPr>
        <w:t>a</w:t>
      </w:r>
      <w:r w:rsidRPr="00B60B17">
        <w:rPr>
          <w:lang w:val="en-US" w:eastAsia="ja-JP"/>
        </w:rPr>
        <w:t xml:space="preserve">) </w:t>
      </w:r>
      <w:r w:rsidRPr="00B60B17">
        <w:rPr>
          <w:lang w:val="en-US"/>
        </w:rPr>
        <w:t xml:space="preserve">Reconsideration of a simple approach to quantile regression for panel data, </w:t>
      </w:r>
      <w:r w:rsidRPr="00B60B17">
        <w:rPr>
          <w:i/>
          <w:lang w:val="en-US"/>
        </w:rPr>
        <w:t>E</w:t>
      </w:r>
      <w:r w:rsidRPr="00B60B17">
        <w:rPr>
          <w:i/>
          <w:lang w:val="en-US" w:eastAsia="ja-JP"/>
        </w:rPr>
        <w:t>conometrics Journal</w:t>
      </w:r>
      <w:r w:rsidRPr="00B60B17">
        <w:rPr>
          <w:lang w:val="en-US" w:eastAsia="ja-JP"/>
        </w:rPr>
        <w:t>,</w:t>
      </w:r>
      <w:r w:rsidRPr="00B60B17">
        <w:rPr>
          <w:lang w:val="en-US"/>
        </w:rPr>
        <w:t xml:space="preserve"> 22:292-308.  </w:t>
      </w:r>
      <w:r w:rsidRPr="00B60B17">
        <w:rPr>
          <w:lang w:val="en-US" w:eastAsia="ja-JP"/>
        </w:rPr>
        <w:t>Q1, top field</w:t>
      </w:r>
    </w:p>
    <w:p w:rsidR="00DB5E94" w:rsidRPr="00B60B17" w:rsidRDefault="00DB5E94" w:rsidP="00B60B17">
      <w:pPr>
        <w:numPr>
          <w:ilvl w:val="0"/>
          <w:numId w:val="15"/>
        </w:numPr>
        <w:autoSpaceDE w:val="0"/>
        <w:autoSpaceDN w:val="0"/>
        <w:adjustRightInd w:val="0"/>
        <w:jc w:val="both"/>
        <w:rPr>
          <w:lang w:val="en-US"/>
        </w:rPr>
      </w:pPr>
      <w:r w:rsidRPr="00B60B17">
        <w:rPr>
          <w:lang w:val="en-US"/>
        </w:rPr>
        <w:t>Besstremyannaya G</w:t>
      </w:r>
      <w:r w:rsidRPr="00B60B17">
        <w:rPr>
          <w:lang w:val="en-US" w:eastAsia="ja-JP"/>
        </w:rPr>
        <w:t xml:space="preserve">, </w:t>
      </w:r>
      <w:proofErr w:type="spellStart"/>
      <w:r w:rsidRPr="00B60B17">
        <w:rPr>
          <w:lang w:val="en-US" w:eastAsia="ja-JP"/>
        </w:rPr>
        <w:t>Simm</w:t>
      </w:r>
      <w:proofErr w:type="spellEnd"/>
      <w:r w:rsidRPr="00B60B17">
        <w:rPr>
          <w:lang w:val="en-US" w:eastAsia="ja-JP"/>
        </w:rPr>
        <w:t xml:space="preserve"> J. </w:t>
      </w:r>
      <w:r w:rsidRPr="00B60B17">
        <w:rPr>
          <w:lang w:val="en-US"/>
        </w:rPr>
        <w:t xml:space="preserve">(2019) Estimation of cost-efficiency in non-parametric frontier models. </w:t>
      </w:r>
      <w:r w:rsidRPr="00B60B17">
        <w:rPr>
          <w:i/>
          <w:lang w:val="en-US"/>
        </w:rPr>
        <w:t>Saint Petersburg Journal of Economic Studies</w:t>
      </w:r>
      <w:r w:rsidRPr="00B60B17">
        <w:rPr>
          <w:lang w:val="en-US"/>
        </w:rPr>
        <w:t>. No.1 (</w:t>
      </w:r>
      <w:r w:rsidRPr="00B60B17">
        <w:t>Вестник</w:t>
      </w:r>
      <w:r w:rsidRPr="00B60B17">
        <w:rPr>
          <w:lang w:val="en-US"/>
        </w:rPr>
        <w:t xml:space="preserve"> </w:t>
      </w:r>
      <w:r w:rsidRPr="00B60B17">
        <w:t>СПГУ</w:t>
      </w:r>
      <w:r w:rsidRPr="00B60B17">
        <w:rPr>
          <w:lang w:val="en-US"/>
        </w:rPr>
        <w:t xml:space="preserve">. </w:t>
      </w:r>
      <w:r w:rsidRPr="00B60B17">
        <w:t>Экономика</w:t>
      </w:r>
      <w:r w:rsidRPr="00B60B17">
        <w:rPr>
          <w:lang w:val="en-US"/>
        </w:rPr>
        <w:t>)</w:t>
      </w:r>
    </w:p>
    <w:p w:rsidR="00DB5E94" w:rsidRPr="00B60B17" w:rsidRDefault="00DB5E94" w:rsidP="00B60B17">
      <w:pPr>
        <w:numPr>
          <w:ilvl w:val="0"/>
          <w:numId w:val="15"/>
        </w:numPr>
        <w:jc w:val="both"/>
        <w:rPr>
          <w:lang w:val="en-US"/>
        </w:rPr>
      </w:pPr>
      <w:r w:rsidRPr="00B60B17">
        <w:rPr>
          <w:lang w:val="en-US"/>
        </w:rPr>
        <w:lastRenderedPageBreak/>
        <w:t>Besstremyannaya G (2017</w:t>
      </w:r>
      <w:r w:rsidR="007F0043">
        <w:rPr>
          <w:lang w:val="en-US"/>
        </w:rPr>
        <w:t>a</w:t>
      </w:r>
      <w:r w:rsidRPr="00B60B17">
        <w:rPr>
          <w:lang w:val="en-US"/>
        </w:rPr>
        <w:t xml:space="preserve">) Heterogeneous effect of the global financial crisis and the Great East Japan Earthquake on costs of Japanese banks. </w:t>
      </w:r>
      <w:r w:rsidRPr="00B60B17">
        <w:rPr>
          <w:i/>
          <w:lang w:val="en-US"/>
        </w:rPr>
        <w:t xml:space="preserve">Journal of Empirical Finance </w:t>
      </w:r>
      <w:r w:rsidRPr="00B60B17">
        <w:rPr>
          <w:lang w:val="en-US"/>
        </w:rPr>
        <w:t>42: 66-89.  Q1</w:t>
      </w:r>
    </w:p>
    <w:p w:rsidR="00DB5E94" w:rsidRPr="00B60B17" w:rsidRDefault="00DB5E94" w:rsidP="00B60B17">
      <w:pPr>
        <w:numPr>
          <w:ilvl w:val="0"/>
          <w:numId w:val="15"/>
        </w:numPr>
        <w:jc w:val="both"/>
        <w:rPr>
          <w:lang w:val="en-US"/>
        </w:rPr>
      </w:pPr>
      <w:r w:rsidRPr="00B60B17">
        <w:rPr>
          <w:lang w:val="en-US"/>
        </w:rPr>
        <w:t>Besstremyannaya G (2017</w:t>
      </w:r>
      <w:r w:rsidR="007F0043">
        <w:rPr>
          <w:lang w:val="en-US"/>
        </w:rPr>
        <w:t>b</w:t>
      </w:r>
      <w:r w:rsidRPr="00B60B17">
        <w:rPr>
          <w:lang w:val="en-US"/>
        </w:rPr>
        <w:t xml:space="preserve">) Measuring income equity with finite mixture models. </w:t>
      </w:r>
      <w:r w:rsidRPr="00B60B17">
        <w:rPr>
          <w:i/>
          <w:lang w:val="en-US"/>
        </w:rPr>
        <w:t xml:space="preserve">Applied Econometrics </w:t>
      </w:r>
      <w:r w:rsidRPr="00B60B17">
        <w:rPr>
          <w:lang w:val="en-US"/>
        </w:rPr>
        <w:t xml:space="preserve">2(46): 5-29. </w:t>
      </w:r>
    </w:p>
    <w:p w:rsidR="00DB5E94" w:rsidRPr="00B60B17" w:rsidRDefault="00DB5E94" w:rsidP="00B60B17">
      <w:pPr>
        <w:numPr>
          <w:ilvl w:val="0"/>
          <w:numId w:val="15"/>
        </w:numPr>
        <w:jc w:val="both"/>
        <w:rPr>
          <w:lang w:val="en-US"/>
        </w:rPr>
      </w:pPr>
      <w:r w:rsidRPr="00B60B17">
        <w:rPr>
          <w:lang w:val="en-US"/>
        </w:rPr>
        <w:t xml:space="preserve">Besstremyannaya G (2016) Differential effects of declining rates in a per diem payment system </w:t>
      </w:r>
      <w:r w:rsidRPr="00B60B17">
        <w:rPr>
          <w:i/>
          <w:lang w:val="en-US"/>
        </w:rPr>
        <w:t>Health Economics</w:t>
      </w:r>
      <w:r w:rsidRPr="00B60B17">
        <w:rPr>
          <w:lang w:val="en-US"/>
        </w:rPr>
        <w:t xml:space="preserve"> 25: 1599-1618. Q1, top field</w:t>
      </w:r>
    </w:p>
    <w:p w:rsidR="007F0043" w:rsidRPr="00B60B17" w:rsidRDefault="007F0043" w:rsidP="007F0043">
      <w:pPr>
        <w:numPr>
          <w:ilvl w:val="0"/>
          <w:numId w:val="15"/>
        </w:numPr>
        <w:autoSpaceDE w:val="0"/>
        <w:autoSpaceDN w:val="0"/>
        <w:adjustRightInd w:val="0"/>
        <w:jc w:val="both"/>
      </w:pPr>
      <w:proofErr w:type="spellStart"/>
      <w:r w:rsidRPr="00B60B17">
        <w:t>Бесстремянная</w:t>
      </w:r>
      <w:proofErr w:type="spellEnd"/>
      <w:r w:rsidRPr="00B60B17">
        <w:t xml:space="preserve"> Г.Е. (2015</w:t>
      </w:r>
      <w:r>
        <w:rPr>
          <w:lang w:val="en-US"/>
        </w:rPr>
        <w:t>a</w:t>
      </w:r>
      <w:r w:rsidRPr="00B60B17">
        <w:t>) Применение ядерных и</w:t>
      </w:r>
      <w:r w:rsidRPr="00B60B17">
        <w:rPr>
          <w:lang w:val="en-US"/>
        </w:rPr>
        <w:t> </w:t>
      </w:r>
      <w:r w:rsidRPr="00B60B17">
        <w:t>параметрических регрессий для оценки влияния страховых медицинских организаций на</w:t>
      </w:r>
      <w:r w:rsidRPr="00B60B17">
        <w:rPr>
          <w:lang w:val="en-US"/>
        </w:rPr>
        <w:t> </w:t>
      </w:r>
      <w:r w:rsidRPr="00B60B17">
        <w:t xml:space="preserve">качество региональных систем здравоохранения </w:t>
      </w:r>
      <w:r w:rsidRPr="00B60B17">
        <w:rPr>
          <w:lang w:eastAsia="ja-JP"/>
        </w:rPr>
        <w:t>/Прикладная эконометрика</w:t>
      </w:r>
      <w:r w:rsidRPr="00B60B17">
        <w:t xml:space="preserve"> </w:t>
      </w:r>
      <w:r w:rsidRPr="00B60B17">
        <w:rPr>
          <w:lang w:val="en-US"/>
        </w:rPr>
        <w:t>No</w:t>
      </w:r>
      <w:r w:rsidRPr="00B60B17">
        <w:t>.2(38)</w:t>
      </w:r>
    </w:p>
    <w:p w:rsidR="00DB5E94" w:rsidRPr="00B60B17" w:rsidRDefault="00DB5E94" w:rsidP="00B60B17">
      <w:pPr>
        <w:numPr>
          <w:ilvl w:val="0"/>
          <w:numId w:val="15"/>
        </w:numPr>
        <w:jc w:val="both"/>
        <w:rPr>
          <w:lang w:val="en-US"/>
        </w:rPr>
      </w:pPr>
      <w:r w:rsidRPr="00B60B17">
        <w:rPr>
          <w:lang w:val="en-US"/>
        </w:rPr>
        <w:t>Besstremyannaya G (2015</w:t>
      </w:r>
      <w:r w:rsidR="007F0043">
        <w:rPr>
          <w:lang w:val="en-US"/>
        </w:rPr>
        <w:t>b</w:t>
      </w:r>
      <w:r w:rsidRPr="00B60B17">
        <w:rPr>
          <w:lang w:val="en-US"/>
        </w:rPr>
        <w:t xml:space="preserve">) Heterogeneous effect of coinsurance rate on healthcare expenditure: generalized finite mixtures and matching estimators </w:t>
      </w:r>
      <w:r w:rsidRPr="00B60B17">
        <w:rPr>
          <w:i/>
          <w:lang w:val="en-US"/>
        </w:rPr>
        <w:t xml:space="preserve">Applied </w:t>
      </w:r>
      <w:proofErr w:type="gramStart"/>
      <w:r w:rsidRPr="00B60B17">
        <w:rPr>
          <w:i/>
          <w:lang w:val="en-US"/>
        </w:rPr>
        <w:t>Economics</w:t>
      </w:r>
      <w:r w:rsidRPr="00B60B17">
        <w:rPr>
          <w:lang w:val="en-US"/>
        </w:rPr>
        <w:t xml:space="preserve">  47</w:t>
      </w:r>
      <w:proofErr w:type="gramEnd"/>
      <w:r w:rsidRPr="00B60B17">
        <w:rPr>
          <w:lang w:val="en-US"/>
        </w:rPr>
        <w:t>(58): 6331-6361. Q2</w:t>
      </w:r>
    </w:p>
    <w:p w:rsidR="00DB5E94" w:rsidRPr="00B60B17" w:rsidRDefault="00DB5E94" w:rsidP="00B60B17">
      <w:pPr>
        <w:numPr>
          <w:ilvl w:val="0"/>
          <w:numId w:val="15"/>
        </w:numPr>
        <w:jc w:val="both"/>
        <w:rPr>
          <w:lang w:val="en-US"/>
        </w:rPr>
      </w:pPr>
      <w:r w:rsidRPr="00B60B17">
        <w:rPr>
          <w:lang w:val="en-US"/>
        </w:rPr>
        <w:t xml:space="preserve">Besstremyannaya G (2013) The impact of Japanese hospital financing reform on hospital efficiency: a difference-in-difference approach. </w:t>
      </w:r>
      <w:r w:rsidRPr="00B60B17">
        <w:rPr>
          <w:i/>
          <w:iCs/>
          <w:lang w:val="en-US"/>
        </w:rPr>
        <w:t>Japanese Economic Review</w:t>
      </w:r>
      <w:r w:rsidRPr="00B60B17">
        <w:rPr>
          <w:lang w:val="en-US"/>
        </w:rPr>
        <w:t xml:space="preserve"> 64(3): 337-362. Q3</w:t>
      </w:r>
    </w:p>
    <w:p w:rsidR="00DB5E94" w:rsidRPr="00B60B17" w:rsidRDefault="00DB5E94" w:rsidP="00B60B17">
      <w:pPr>
        <w:numPr>
          <w:ilvl w:val="0"/>
          <w:numId w:val="15"/>
        </w:numPr>
        <w:jc w:val="both"/>
        <w:rPr>
          <w:b/>
          <w:lang w:val="en-US"/>
        </w:rPr>
      </w:pPr>
      <w:r w:rsidRPr="00B60B17">
        <w:rPr>
          <w:lang w:val="en-US"/>
        </w:rPr>
        <w:t xml:space="preserve">Besstremyannaya G (2011) </w:t>
      </w:r>
      <w:r w:rsidRPr="00B60B17">
        <w:rPr>
          <w:lang w:val="en-US" w:eastAsia="ja-JP"/>
        </w:rPr>
        <w:t xml:space="preserve">Managerial performance and cost efficiency of Japanese local public hospitals: a latent class stochastic frontier model. </w:t>
      </w:r>
      <w:r w:rsidRPr="00B60B17">
        <w:rPr>
          <w:i/>
          <w:iCs/>
          <w:lang w:val="en-US" w:eastAsia="ja-JP"/>
        </w:rPr>
        <w:t>Health Economics</w:t>
      </w:r>
      <w:r w:rsidRPr="00B60B17">
        <w:rPr>
          <w:lang w:val="en-US" w:eastAsia="ja-JP"/>
        </w:rPr>
        <w:t xml:space="preserve"> 20(S1): 19-34. Q1, top field</w:t>
      </w:r>
    </w:p>
    <w:p w:rsidR="00DB5E94" w:rsidRPr="00B60B17" w:rsidRDefault="00DB5E94" w:rsidP="00B60B17">
      <w:pPr>
        <w:numPr>
          <w:ilvl w:val="0"/>
          <w:numId w:val="15"/>
        </w:numPr>
        <w:jc w:val="both"/>
        <w:rPr>
          <w:lang w:val="en-US"/>
        </w:rPr>
      </w:pPr>
      <w:r w:rsidRPr="00B60B17">
        <w:rPr>
          <w:lang w:val="en-US"/>
        </w:rPr>
        <w:t xml:space="preserve">Besstremyannaya G (2009) </w:t>
      </w:r>
      <w:r w:rsidRPr="00B60B17">
        <w:rPr>
          <w:lang w:val="en-US" w:eastAsia="ja-JP"/>
        </w:rPr>
        <w:t xml:space="preserve">Microdata assessment of Russian drug benefit monetization. </w:t>
      </w:r>
      <w:r w:rsidRPr="00B60B17">
        <w:rPr>
          <w:i/>
          <w:lang w:val="en-US" w:eastAsia="ja-JP"/>
        </w:rPr>
        <w:t>Journal of Health Organization and Management</w:t>
      </w:r>
      <w:r w:rsidRPr="00B60B17">
        <w:rPr>
          <w:lang w:val="en-US" w:eastAsia="ja-JP"/>
        </w:rPr>
        <w:t xml:space="preserve"> 23(5): 465-476, Q2.</w:t>
      </w:r>
    </w:p>
    <w:p w:rsidR="00DB5E94" w:rsidRPr="00B60B17" w:rsidRDefault="00DB5E94" w:rsidP="00B60B17">
      <w:pPr>
        <w:adjustRightInd w:val="0"/>
        <w:jc w:val="both"/>
        <w:rPr>
          <w:lang w:eastAsia="ja-JP"/>
        </w:rPr>
      </w:pPr>
      <w:r w:rsidRPr="00B60B17">
        <w:t xml:space="preserve">Журналы из дополнительного списка НИУ ВШЭ </w:t>
      </w:r>
    </w:p>
    <w:p w:rsidR="00DB5E94" w:rsidRPr="00B60B17" w:rsidRDefault="00DB5E94" w:rsidP="00B60B17">
      <w:pPr>
        <w:numPr>
          <w:ilvl w:val="0"/>
          <w:numId w:val="15"/>
        </w:numPr>
        <w:autoSpaceDE w:val="0"/>
        <w:autoSpaceDN w:val="0"/>
        <w:adjustRightInd w:val="0"/>
        <w:jc w:val="both"/>
      </w:pPr>
      <w:proofErr w:type="spellStart"/>
      <w:r w:rsidRPr="00B60B17">
        <w:t>Бесстремянная</w:t>
      </w:r>
      <w:proofErr w:type="spellEnd"/>
      <w:r w:rsidRPr="00B60B17">
        <w:t xml:space="preserve"> Г.Е. (2019</w:t>
      </w:r>
      <w:r w:rsidR="007F0043">
        <w:rPr>
          <w:lang w:val="en-US"/>
        </w:rPr>
        <w:t>b</w:t>
      </w:r>
      <w:r w:rsidRPr="00B60B17">
        <w:t xml:space="preserve">) Стратегическое развитие предприятий с помощью сделок слияний и поглощений: особенности российского рынка </w:t>
      </w:r>
      <w:r w:rsidRPr="00B60B17">
        <w:rPr>
          <w:lang w:eastAsia="ja-JP"/>
        </w:rPr>
        <w:t>/</w:t>
      </w:r>
      <w:r w:rsidRPr="00B60B17">
        <w:t xml:space="preserve">Финансовый журнал. №3.  </w:t>
      </w:r>
    </w:p>
    <w:p w:rsidR="00DB5E94" w:rsidRPr="00B60B17" w:rsidRDefault="00DB5E94" w:rsidP="00B60B17">
      <w:pPr>
        <w:numPr>
          <w:ilvl w:val="0"/>
          <w:numId w:val="15"/>
        </w:numPr>
        <w:adjustRightInd w:val="0"/>
        <w:jc w:val="both"/>
      </w:pPr>
      <w:proofErr w:type="spellStart"/>
      <w:r w:rsidRPr="00B60B17">
        <w:t>Бесстремянная</w:t>
      </w:r>
      <w:proofErr w:type="spellEnd"/>
      <w:r w:rsidRPr="00B60B17">
        <w:t xml:space="preserve"> Г.Е. (2006) Теневой сектор и реформа единого социального налога </w:t>
      </w:r>
      <w:r w:rsidRPr="00B60B17">
        <w:rPr>
          <w:lang w:eastAsia="ja-JP"/>
        </w:rPr>
        <w:t>/ Вопросы экономики №6</w:t>
      </w:r>
      <w:r w:rsidRPr="00B60B17">
        <w:t xml:space="preserve"> (</w:t>
      </w:r>
      <w:r w:rsidR="00DC2D13" w:rsidRPr="00B60B17">
        <w:t>Ж</w:t>
      </w:r>
      <w:r w:rsidRPr="00B60B17">
        <w:t xml:space="preserve">урнал в </w:t>
      </w:r>
      <w:proofErr w:type="spellStart"/>
      <w:proofErr w:type="gramStart"/>
      <w:r w:rsidRPr="00B60B17">
        <w:t>Скопус</w:t>
      </w:r>
      <w:proofErr w:type="spellEnd"/>
      <w:r w:rsidRPr="00B60B17">
        <w:t xml:space="preserve">,  </w:t>
      </w:r>
      <w:r w:rsidR="00DC2D13" w:rsidRPr="00B60B17">
        <w:t>но</w:t>
      </w:r>
      <w:proofErr w:type="gramEnd"/>
      <w:r w:rsidR="00DC2D13" w:rsidRPr="00B60B17">
        <w:t xml:space="preserve"> </w:t>
      </w:r>
      <w:r w:rsidRPr="00B60B17">
        <w:t xml:space="preserve">номера 2006 года в </w:t>
      </w:r>
      <w:proofErr w:type="spellStart"/>
      <w:r w:rsidRPr="00B60B17">
        <w:t>в</w:t>
      </w:r>
      <w:proofErr w:type="spellEnd"/>
      <w:r w:rsidRPr="00B60B17">
        <w:t xml:space="preserve"> </w:t>
      </w:r>
      <w:proofErr w:type="spellStart"/>
      <w:r w:rsidRPr="00B60B17">
        <w:t>Скопус</w:t>
      </w:r>
      <w:proofErr w:type="spellEnd"/>
      <w:r w:rsidRPr="00B60B17">
        <w:t xml:space="preserve"> не включены). </w:t>
      </w:r>
    </w:p>
    <w:p w:rsidR="007F0043" w:rsidRPr="00B60B17" w:rsidRDefault="007F0043" w:rsidP="00B60B17">
      <w:pPr>
        <w:autoSpaceDE w:val="0"/>
        <w:autoSpaceDN w:val="0"/>
        <w:adjustRightInd w:val="0"/>
        <w:ind w:left="720"/>
        <w:jc w:val="both"/>
      </w:pPr>
    </w:p>
    <w:p w:rsidR="00DB5E94" w:rsidRPr="00B60B17" w:rsidRDefault="00DB5E94" w:rsidP="00B60B17">
      <w:pPr>
        <w:jc w:val="both"/>
        <w:rPr>
          <w:b/>
          <w:lang w:val="en-US"/>
        </w:rPr>
      </w:pPr>
      <w:r w:rsidRPr="00B60B17">
        <w:rPr>
          <w:b/>
        </w:rPr>
        <w:t>Препринты</w:t>
      </w:r>
      <w:r w:rsidRPr="00B60B17">
        <w:rPr>
          <w:b/>
          <w:lang w:val="en-US"/>
        </w:rPr>
        <w:t xml:space="preserve"> Stanford Institute for Economic Policy Discussion Papers </w:t>
      </w:r>
    </w:p>
    <w:p w:rsidR="00DB5E94" w:rsidRPr="00B60B17" w:rsidRDefault="00DB5E94" w:rsidP="00B60B17">
      <w:pPr>
        <w:numPr>
          <w:ilvl w:val="0"/>
          <w:numId w:val="15"/>
        </w:numPr>
        <w:jc w:val="both"/>
        <w:rPr>
          <w:lang w:val="en-US"/>
        </w:rPr>
      </w:pPr>
      <w:r w:rsidRPr="00B60B17">
        <w:rPr>
          <w:lang w:val="en-US"/>
        </w:rPr>
        <w:t>Besstremyannaya G (2015</w:t>
      </w:r>
      <w:r w:rsidR="007F0043">
        <w:rPr>
          <w:lang w:val="en-US"/>
        </w:rPr>
        <w:t>c</w:t>
      </w:r>
      <w:r w:rsidRPr="00B60B17">
        <w:rPr>
          <w:lang w:val="en-US"/>
        </w:rPr>
        <w:t xml:space="preserve">) </w:t>
      </w:r>
      <w:hyperlink r:id="rId61" w:history="1">
        <w:r w:rsidRPr="00B60B17">
          <w:rPr>
            <w:rStyle w:val="Hyperlink"/>
            <w:lang w:val="en-US"/>
          </w:rPr>
          <w:t>Heterogeneous effect of residency matching and prospective payment on labor returns and hospital scale economies</w:t>
        </w:r>
      </w:hyperlink>
      <w:r w:rsidRPr="00B60B17">
        <w:rPr>
          <w:lang w:val="en-US"/>
        </w:rPr>
        <w:t xml:space="preserve"> Stanford Institute for Economic Policy Research, Discussion Paper, No.15-001. </w:t>
      </w:r>
    </w:p>
    <w:p w:rsidR="00DB5E94" w:rsidRPr="00B60B17" w:rsidRDefault="00DB5E94" w:rsidP="00B60B17">
      <w:pPr>
        <w:pStyle w:val="Heading1"/>
        <w:numPr>
          <w:ilvl w:val="0"/>
          <w:numId w:val="15"/>
        </w:numPr>
        <w:spacing w:before="0" w:after="0"/>
        <w:jc w:val="both"/>
        <w:rPr>
          <w:rFonts w:ascii="Times New Roman" w:hAnsi="Times New Roman"/>
          <w:b w:val="0"/>
          <w:sz w:val="24"/>
          <w:szCs w:val="24"/>
          <w:lang w:val="en-US"/>
        </w:rPr>
      </w:pPr>
      <w:r w:rsidRPr="00B60B17">
        <w:rPr>
          <w:rFonts w:ascii="Times New Roman" w:hAnsi="Times New Roman"/>
          <w:b w:val="0"/>
          <w:sz w:val="24"/>
          <w:szCs w:val="24"/>
          <w:lang w:val="en-US"/>
        </w:rPr>
        <w:t>Besstremyannaya G (2014)</w:t>
      </w:r>
      <w:r w:rsidRPr="00B60B17">
        <w:rPr>
          <w:rFonts w:ascii="Times New Roman" w:hAnsi="Times New Roman"/>
          <w:sz w:val="24"/>
          <w:szCs w:val="24"/>
          <w:lang w:val="en-US"/>
        </w:rPr>
        <w:t xml:space="preserve"> </w:t>
      </w:r>
      <w:hyperlink r:id="rId62" w:history="1">
        <w:r w:rsidRPr="00B60B17">
          <w:rPr>
            <w:rStyle w:val="Hyperlink"/>
            <w:rFonts w:ascii="Times New Roman" w:hAnsi="Times New Roman"/>
            <w:b w:val="0"/>
            <w:sz w:val="24"/>
            <w:szCs w:val="24"/>
            <w:lang w:val="en-US"/>
          </w:rPr>
          <w:t>Heterogeneous effect of coinsurance rate on healthcare costs: generalized finite mixtures and matching estimators</w:t>
        </w:r>
      </w:hyperlink>
      <w:r w:rsidRPr="00B60B17">
        <w:rPr>
          <w:rFonts w:ascii="Times New Roman" w:hAnsi="Times New Roman"/>
          <w:b w:val="0"/>
          <w:sz w:val="24"/>
          <w:szCs w:val="24"/>
          <w:lang w:val="en-US"/>
        </w:rPr>
        <w:t xml:space="preserve"> Stanford Institute for Economic Policy Research, Discussion Paper, No.14-014.</w:t>
      </w:r>
    </w:p>
    <w:p w:rsidR="00DB5E94" w:rsidRPr="00B60B17" w:rsidRDefault="00DB5E94" w:rsidP="00B60B17">
      <w:pPr>
        <w:pStyle w:val="Heading1"/>
        <w:numPr>
          <w:ilvl w:val="0"/>
          <w:numId w:val="15"/>
        </w:numPr>
        <w:spacing w:before="0" w:after="0"/>
        <w:jc w:val="both"/>
        <w:rPr>
          <w:rFonts w:ascii="Times New Roman" w:hAnsi="Times New Roman"/>
          <w:b w:val="0"/>
          <w:sz w:val="24"/>
          <w:szCs w:val="24"/>
          <w:lang w:val="en-US"/>
        </w:rPr>
      </w:pPr>
      <w:r w:rsidRPr="00B60B17">
        <w:rPr>
          <w:rFonts w:ascii="Times New Roman" w:hAnsi="Times New Roman"/>
          <w:b w:val="0"/>
          <w:sz w:val="24"/>
          <w:szCs w:val="24"/>
          <w:lang w:val="en-US"/>
        </w:rPr>
        <w:t xml:space="preserve">Besstremyannaya G (2014) </w:t>
      </w:r>
      <w:hyperlink r:id="rId63" w:history="1">
        <w:r w:rsidRPr="00B60B17">
          <w:rPr>
            <w:rStyle w:val="Hyperlink"/>
            <w:rFonts w:ascii="Times New Roman" w:hAnsi="Times New Roman"/>
            <w:b w:val="0"/>
            <w:sz w:val="24"/>
            <w:szCs w:val="24"/>
            <w:lang w:val="en-US"/>
          </w:rPr>
          <w:t xml:space="preserve">The adverse effects of value-based purchasing in health care: dynamic quantile regression with </w:t>
        </w:r>
        <w:proofErr w:type="spellStart"/>
        <w:r w:rsidRPr="00B60B17">
          <w:rPr>
            <w:rStyle w:val="Hyperlink"/>
            <w:rFonts w:ascii="Times New Roman" w:hAnsi="Times New Roman"/>
            <w:b w:val="0"/>
            <w:sz w:val="24"/>
            <w:szCs w:val="24"/>
            <w:lang w:val="en-US"/>
          </w:rPr>
          <w:t>endogeneity</w:t>
        </w:r>
        <w:proofErr w:type="spellEnd"/>
      </w:hyperlink>
      <w:r w:rsidRPr="00B60B17">
        <w:rPr>
          <w:rFonts w:ascii="Times New Roman" w:hAnsi="Times New Roman"/>
          <w:b w:val="0"/>
          <w:sz w:val="24"/>
          <w:szCs w:val="24"/>
          <w:lang w:val="en-US"/>
        </w:rPr>
        <w:t xml:space="preserve"> Stanford Institute for Economic Policy Research, Discussion Paper, No.14-006. </w:t>
      </w:r>
    </w:p>
    <w:p w:rsidR="00DB5E94" w:rsidRPr="00B60B17" w:rsidRDefault="00DB5E94" w:rsidP="00B60B17">
      <w:pPr>
        <w:jc w:val="both"/>
        <w:rPr>
          <w:b/>
          <w:bCs/>
          <w:lang w:val="en-US"/>
        </w:rPr>
      </w:pPr>
    </w:p>
    <w:p w:rsidR="00DB5E94" w:rsidRPr="00B60B17" w:rsidRDefault="00DB5E94" w:rsidP="00B60B17">
      <w:pPr>
        <w:jc w:val="both"/>
        <w:rPr>
          <w:b/>
          <w:bCs/>
          <w:lang w:eastAsia="ja-JP"/>
        </w:rPr>
      </w:pPr>
      <w:r w:rsidRPr="00B60B17">
        <w:rPr>
          <w:b/>
          <w:bCs/>
        </w:rPr>
        <w:t xml:space="preserve">Препринты университета </w:t>
      </w:r>
      <w:proofErr w:type="spellStart"/>
      <w:r w:rsidRPr="00B60B17">
        <w:rPr>
          <w:b/>
          <w:bCs/>
        </w:rPr>
        <w:t>Дуисбург</w:t>
      </w:r>
      <w:proofErr w:type="spellEnd"/>
      <w:r w:rsidRPr="00B60B17">
        <w:rPr>
          <w:b/>
          <w:bCs/>
        </w:rPr>
        <w:t>-Эссен (Германия)</w:t>
      </w:r>
    </w:p>
    <w:p w:rsidR="00DB5E94" w:rsidRPr="00B60B17" w:rsidRDefault="0084461A" w:rsidP="00B60B17">
      <w:pPr>
        <w:pStyle w:val="Heading1"/>
        <w:numPr>
          <w:ilvl w:val="0"/>
          <w:numId w:val="15"/>
        </w:numPr>
        <w:spacing w:before="0" w:after="0"/>
        <w:jc w:val="both"/>
        <w:rPr>
          <w:rFonts w:ascii="Times New Roman" w:hAnsi="Times New Roman"/>
          <w:b w:val="0"/>
          <w:sz w:val="24"/>
          <w:szCs w:val="24"/>
          <w:lang w:val="en-US"/>
        </w:rPr>
      </w:pPr>
      <w:hyperlink r:id="rId64" w:history="1">
        <w:r w:rsidR="00DB5E94" w:rsidRPr="00B60B17">
          <w:rPr>
            <w:rStyle w:val="Hyperlink"/>
            <w:rFonts w:ascii="Times New Roman" w:hAnsi="Times New Roman"/>
            <w:b w:val="0"/>
            <w:sz w:val="24"/>
            <w:szCs w:val="24"/>
            <w:lang w:val="en-US"/>
          </w:rPr>
          <w:t>Technological change, energy, environment and economic growth in Japan</w:t>
        </w:r>
      </w:hyperlink>
      <w:r w:rsidR="00DB5E94" w:rsidRPr="00B60B17">
        <w:rPr>
          <w:rFonts w:ascii="Times New Roman" w:hAnsi="Times New Roman"/>
          <w:b w:val="0"/>
          <w:sz w:val="24"/>
          <w:szCs w:val="24"/>
          <w:lang w:val="en-US"/>
        </w:rPr>
        <w:t xml:space="preserve"> (2019) </w:t>
      </w:r>
      <w:proofErr w:type="spellStart"/>
      <w:r w:rsidR="00DB5E94" w:rsidRPr="00B60B17">
        <w:rPr>
          <w:rFonts w:ascii="Times New Roman" w:hAnsi="Times New Roman"/>
          <w:b w:val="0"/>
          <w:sz w:val="24"/>
          <w:szCs w:val="24"/>
          <w:lang w:val="en-US"/>
        </w:rPr>
        <w:t>Rurh</w:t>
      </w:r>
      <w:proofErr w:type="spellEnd"/>
      <w:r w:rsidR="00DB5E94" w:rsidRPr="00B60B17">
        <w:rPr>
          <w:rFonts w:ascii="Times New Roman" w:hAnsi="Times New Roman"/>
          <w:b w:val="0"/>
          <w:sz w:val="24"/>
          <w:szCs w:val="24"/>
          <w:lang w:val="en-US"/>
        </w:rPr>
        <w:t xml:space="preserve"> Economic Papers, RWI-Leibniz-</w:t>
      </w:r>
      <w:proofErr w:type="spellStart"/>
      <w:r w:rsidR="00DB5E94" w:rsidRPr="00B60B17">
        <w:rPr>
          <w:rFonts w:ascii="Times New Roman" w:hAnsi="Times New Roman"/>
          <w:b w:val="0"/>
          <w:sz w:val="24"/>
          <w:szCs w:val="24"/>
          <w:lang w:val="en-US"/>
        </w:rPr>
        <w:t>Institut</w:t>
      </w:r>
      <w:proofErr w:type="spellEnd"/>
      <w:r w:rsidR="00DB5E94" w:rsidRPr="00B60B17">
        <w:rPr>
          <w:rFonts w:ascii="Times New Roman" w:hAnsi="Times New Roman"/>
          <w:b w:val="0"/>
          <w:sz w:val="24"/>
          <w:szCs w:val="24"/>
          <w:lang w:val="en-US"/>
        </w:rPr>
        <w:t xml:space="preserve"> fur </w:t>
      </w:r>
      <w:proofErr w:type="spellStart"/>
      <w:r w:rsidR="00DB5E94" w:rsidRPr="00B60B17">
        <w:rPr>
          <w:rFonts w:ascii="Times New Roman" w:hAnsi="Times New Roman"/>
          <w:b w:val="0"/>
          <w:sz w:val="24"/>
          <w:szCs w:val="24"/>
          <w:lang w:val="en-US"/>
        </w:rPr>
        <w:t>Wirtschaftsforschung</w:t>
      </w:r>
      <w:proofErr w:type="spellEnd"/>
      <w:r w:rsidR="00DB5E94" w:rsidRPr="00B60B17">
        <w:rPr>
          <w:rFonts w:ascii="Times New Roman" w:hAnsi="Times New Roman"/>
          <w:b w:val="0"/>
          <w:sz w:val="24"/>
          <w:szCs w:val="24"/>
          <w:lang w:val="en-US"/>
        </w:rPr>
        <w:t xml:space="preserve">, </w:t>
      </w:r>
      <w:proofErr w:type="spellStart"/>
      <w:r w:rsidR="00DB5E94" w:rsidRPr="00B60B17">
        <w:rPr>
          <w:rFonts w:ascii="Times New Roman" w:hAnsi="Times New Roman"/>
          <w:b w:val="0"/>
          <w:sz w:val="24"/>
          <w:szCs w:val="24"/>
          <w:lang w:val="en-US"/>
        </w:rPr>
        <w:t>Rurh</w:t>
      </w:r>
      <w:proofErr w:type="spellEnd"/>
      <w:r w:rsidR="00DB5E94" w:rsidRPr="00B60B17">
        <w:rPr>
          <w:rFonts w:ascii="Times New Roman" w:hAnsi="Times New Roman"/>
          <w:b w:val="0"/>
          <w:sz w:val="24"/>
          <w:szCs w:val="24"/>
          <w:lang w:val="en-US"/>
        </w:rPr>
        <w:t>-University Bochum, TU Dortmund University, University of Duisburg-Essen</w:t>
      </w:r>
      <w:r w:rsidR="00DB5E94" w:rsidRPr="00B60B17">
        <w:rPr>
          <w:rFonts w:ascii="Times New Roman" w:hAnsi="Times New Roman"/>
          <w:b w:val="0"/>
          <w:sz w:val="24"/>
          <w:szCs w:val="24"/>
          <w:shd w:val="clear" w:color="auto" w:fill="EFF3F8"/>
          <w:lang w:val="en-US"/>
        </w:rPr>
        <w:t xml:space="preserve"> </w:t>
      </w:r>
      <w:r w:rsidR="00DB5E94" w:rsidRPr="00B60B17">
        <w:rPr>
          <w:rFonts w:ascii="Times New Roman" w:hAnsi="Times New Roman"/>
          <w:b w:val="0"/>
          <w:sz w:val="24"/>
          <w:szCs w:val="24"/>
          <w:lang w:val="en-US"/>
        </w:rPr>
        <w:t xml:space="preserve">(with </w:t>
      </w:r>
      <w:proofErr w:type="spellStart"/>
      <w:r w:rsidR="00DB5E94" w:rsidRPr="00B60B17">
        <w:rPr>
          <w:rFonts w:ascii="Times New Roman" w:hAnsi="Times New Roman"/>
          <w:b w:val="0"/>
          <w:sz w:val="24"/>
          <w:szCs w:val="24"/>
          <w:lang w:val="en-US"/>
        </w:rPr>
        <w:t>R.Dasher</w:t>
      </w:r>
      <w:proofErr w:type="spellEnd"/>
      <w:r w:rsidR="00DB5E94" w:rsidRPr="00B60B17">
        <w:rPr>
          <w:rFonts w:ascii="Times New Roman" w:hAnsi="Times New Roman"/>
          <w:b w:val="0"/>
          <w:sz w:val="24"/>
          <w:szCs w:val="24"/>
          <w:lang w:val="en-US"/>
        </w:rPr>
        <w:t xml:space="preserve"> and </w:t>
      </w:r>
      <w:proofErr w:type="spellStart"/>
      <w:r w:rsidR="00DB5E94" w:rsidRPr="00B60B17">
        <w:rPr>
          <w:rFonts w:ascii="Times New Roman" w:hAnsi="Times New Roman"/>
          <w:b w:val="0"/>
          <w:sz w:val="24"/>
          <w:szCs w:val="24"/>
          <w:lang w:val="en-US"/>
        </w:rPr>
        <w:t>S.Golovan</w:t>
      </w:r>
      <w:proofErr w:type="spellEnd"/>
      <w:r w:rsidR="00DB5E94" w:rsidRPr="00B60B17">
        <w:rPr>
          <w:rFonts w:ascii="Times New Roman" w:hAnsi="Times New Roman"/>
          <w:b w:val="0"/>
          <w:sz w:val="24"/>
          <w:szCs w:val="24"/>
          <w:lang w:val="en-US"/>
        </w:rPr>
        <w:t>)</w:t>
      </w:r>
    </w:p>
    <w:p w:rsidR="00DB5E94" w:rsidRPr="00B60B17" w:rsidRDefault="00DB5E94" w:rsidP="00B60B17">
      <w:pPr>
        <w:numPr>
          <w:ilvl w:val="0"/>
          <w:numId w:val="15"/>
        </w:numPr>
        <w:jc w:val="both"/>
        <w:rPr>
          <w:lang w:val="en-US"/>
        </w:rPr>
      </w:pPr>
      <w:proofErr w:type="spellStart"/>
      <w:r w:rsidRPr="00B60B17">
        <w:rPr>
          <w:lang w:val="en-US" w:eastAsia="ja-JP"/>
        </w:rPr>
        <w:t>Besstremynnaya</w:t>
      </w:r>
      <w:proofErr w:type="spellEnd"/>
      <w:r w:rsidRPr="00B60B17">
        <w:rPr>
          <w:lang w:val="en-US" w:eastAsia="ja-JP"/>
        </w:rPr>
        <w:t xml:space="preserve"> G., Golovan S. </w:t>
      </w:r>
      <w:hyperlink r:id="rId65" w:history="1">
        <w:r w:rsidRPr="00B60B17">
          <w:rPr>
            <w:rStyle w:val="Hyperlink"/>
            <w:lang w:val="en-US"/>
          </w:rPr>
          <w:t>Physicians’ altruism in incentives contracts: Medicare’s quality race</w:t>
        </w:r>
      </w:hyperlink>
      <w:r w:rsidRPr="00B60B17">
        <w:rPr>
          <w:lang w:val="en-US"/>
        </w:rPr>
        <w:t xml:space="preserve"> (2019</w:t>
      </w:r>
      <w:r w:rsidR="007F0043">
        <w:rPr>
          <w:lang w:val="en-US"/>
        </w:rPr>
        <w:t>b</w:t>
      </w:r>
      <w:r w:rsidRPr="00B60B17">
        <w:rPr>
          <w:lang w:val="en-US"/>
        </w:rPr>
        <w:t>) CINCH at University of Duisburg-Essen, Working Papers, No.3</w:t>
      </w:r>
    </w:p>
    <w:p w:rsidR="00762D51" w:rsidRPr="00B60B17" w:rsidRDefault="00762D51" w:rsidP="00B60B17">
      <w:pPr>
        <w:jc w:val="both"/>
        <w:rPr>
          <w:b/>
          <w:lang w:val="en-US"/>
        </w:rPr>
      </w:pPr>
    </w:p>
    <w:p w:rsidR="00DB5E94" w:rsidRPr="00B60B17" w:rsidRDefault="00DB5E94" w:rsidP="00B60B17">
      <w:pPr>
        <w:jc w:val="both"/>
        <w:rPr>
          <w:b/>
        </w:rPr>
      </w:pPr>
      <w:r w:rsidRPr="00B60B17">
        <w:rPr>
          <w:b/>
        </w:rPr>
        <w:t xml:space="preserve">Препринты Российской экономической школы на международном </w:t>
      </w:r>
      <w:r w:rsidRPr="00B60B17">
        <w:rPr>
          <w:b/>
          <w:bCs/>
        </w:rPr>
        <w:t xml:space="preserve">портале РЕПЕК </w:t>
      </w:r>
      <w:r w:rsidRPr="00B60B17">
        <w:rPr>
          <w:b/>
          <w:bCs/>
          <w:lang w:eastAsia="ja-JP"/>
        </w:rPr>
        <w:t>(</w:t>
      </w:r>
      <w:r w:rsidRPr="00B60B17">
        <w:rPr>
          <w:b/>
          <w:bCs/>
          <w:lang w:val="en-US" w:eastAsia="ja-JP"/>
        </w:rPr>
        <w:t>Research</w:t>
      </w:r>
      <w:r w:rsidRPr="00B60B17">
        <w:rPr>
          <w:b/>
          <w:bCs/>
          <w:lang w:eastAsia="ja-JP"/>
        </w:rPr>
        <w:t xml:space="preserve"> </w:t>
      </w:r>
      <w:r w:rsidRPr="00B60B17">
        <w:rPr>
          <w:b/>
          <w:bCs/>
          <w:lang w:val="en-US" w:eastAsia="ja-JP"/>
        </w:rPr>
        <w:t>Papers</w:t>
      </w:r>
      <w:r w:rsidRPr="00B60B17">
        <w:rPr>
          <w:b/>
          <w:bCs/>
          <w:lang w:eastAsia="ja-JP"/>
        </w:rPr>
        <w:t xml:space="preserve"> </w:t>
      </w:r>
      <w:r w:rsidRPr="00B60B17">
        <w:rPr>
          <w:b/>
          <w:bCs/>
          <w:lang w:val="en-US" w:eastAsia="ja-JP"/>
        </w:rPr>
        <w:t>in</w:t>
      </w:r>
      <w:r w:rsidRPr="00B60B17">
        <w:rPr>
          <w:b/>
          <w:bCs/>
          <w:lang w:eastAsia="ja-JP"/>
        </w:rPr>
        <w:t xml:space="preserve"> </w:t>
      </w:r>
      <w:r w:rsidRPr="00B60B17">
        <w:rPr>
          <w:b/>
          <w:bCs/>
          <w:lang w:val="en-US" w:eastAsia="ja-JP"/>
        </w:rPr>
        <w:t>Economics</w:t>
      </w:r>
      <w:r w:rsidRPr="00B60B17">
        <w:rPr>
          <w:b/>
          <w:bCs/>
          <w:lang w:eastAsia="ja-JP"/>
        </w:rPr>
        <w:t>)</w:t>
      </w:r>
    </w:p>
    <w:p w:rsidR="00DB5E94" w:rsidRPr="00B60B17" w:rsidRDefault="007F0043" w:rsidP="00B60B17">
      <w:pPr>
        <w:numPr>
          <w:ilvl w:val="0"/>
          <w:numId w:val="15"/>
        </w:numPr>
        <w:jc w:val="both"/>
        <w:rPr>
          <w:lang w:val="en-US"/>
        </w:rPr>
      </w:pPr>
      <w:r>
        <w:rPr>
          <w:lang w:val="en-US"/>
        </w:rPr>
        <w:t xml:space="preserve">Besstremyannaya G., Golovan S. </w:t>
      </w:r>
      <w:r w:rsidRPr="00B60B17">
        <w:rPr>
          <w:lang w:val="en-US"/>
        </w:rPr>
        <w:t>(2019</w:t>
      </w:r>
      <w:r>
        <w:rPr>
          <w:lang w:val="en-US"/>
        </w:rPr>
        <w:t>c</w:t>
      </w:r>
      <w:r w:rsidRPr="00B60B17">
        <w:rPr>
          <w:lang w:val="en-US"/>
        </w:rPr>
        <w:t>)</w:t>
      </w:r>
      <w:r>
        <w:rPr>
          <w:lang w:val="en-US"/>
        </w:rPr>
        <w:t xml:space="preserve"> </w:t>
      </w:r>
      <w:hyperlink r:id="rId66" w:history="1">
        <w:r w:rsidR="00DB5E94" w:rsidRPr="00B60B17">
          <w:rPr>
            <w:rStyle w:val="Hyperlink"/>
            <w:lang w:val="en-US"/>
          </w:rPr>
          <w:t>Reconsideration of a simple approach to quantile regression for panel dat</w:t>
        </w:r>
        <w:r w:rsidR="00DB5E94" w:rsidRPr="00B60B17">
          <w:rPr>
            <w:rStyle w:val="Hyperlink"/>
            <w:lang w:val="en-US" w:eastAsia="ja-JP"/>
          </w:rPr>
          <w:t xml:space="preserve">a: a comment on the </w:t>
        </w:r>
        <w:proofErr w:type="spellStart"/>
        <w:r w:rsidR="00DB5E94" w:rsidRPr="00B60B17">
          <w:rPr>
            <w:rStyle w:val="Hyperlink"/>
            <w:lang w:val="en-US" w:eastAsia="ja-JP"/>
          </w:rPr>
          <w:t>Canay</w:t>
        </w:r>
        <w:proofErr w:type="spellEnd"/>
        <w:r w:rsidR="00DB5E94" w:rsidRPr="00B60B17">
          <w:rPr>
            <w:rStyle w:val="Hyperlink"/>
            <w:lang w:val="en-US" w:eastAsia="ja-JP"/>
          </w:rPr>
          <w:t xml:space="preserve"> (2011) estimator</w:t>
        </w:r>
      </w:hyperlink>
      <w:r w:rsidR="00DB5E94" w:rsidRPr="00B60B17">
        <w:rPr>
          <w:lang w:val="en-US" w:eastAsia="ja-JP"/>
        </w:rPr>
        <w:t xml:space="preserve"> </w:t>
      </w:r>
      <w:r w:rsidR="00DB5E94" w:rsidRPr="00B60B17">
        <w:rPr>
          <w:lang w:val="en-US"/>
        </w:rPr>
        <w:t xml:space="preserve"> NES Working Papers, No.249</w:t>
      </w:r>
      <w:r>
        <w:rPr>
          <w:lang w:val="en-US"/>
        </w:rPr>
        <w:t>.</w:t>
      </w:r>
    </w:p>
    <w:p w:rsidR="00DB5E94" w:rsidRPr="00B60B17" w:rsidRDefault="007F0043" w:rsidP="00B60B17">
      <w:pPr>
        <w:numPr>
          <w:ilvl w:val="0"/>
          <w:numId w:val="15"/>
        </w:numPr>
        <w:jc w:val="both"/>
        <w:rPr>
          <w:lang w:val="en-US"/>
        </w:rPr>
      </w:pPr>
      <w:r>
        <w:rPr>
          <w:lang w:val="en-US"/>
        </w:rPr>
        <w:lastRenderedPageBreak/>
        <w:t xml:space="preserve">Besstremyannaya G., Golovan S. (2018) </w:t>
      </w:r>
      <w:hyperlink r:id="rId67" w:history="1">
        <w:r w:rsidR="00DB5E94" w:rsidRPr="00B60B17">
          <w:rPr>
            <w:rStyle w:val="Hyperlink"/>
            <w:lang w:val="en-US"/>
          </w:rPr>
          <w:t>Reconsideration of a simple approach to quantile regression for panel data</w:t>
        </w:r>
      </w:hyperlink>
      <w:r w:rsidR="00DB5E94" w:rsidRPr="00B60B17">
        <w:rPr>
          <w:lang w:val="en-US"/>
        </w:rPr>
        <w:t xml:space="preserve"> (2018) </w:t>
      </w:r>
      <w:r>
        <w:rPr>
          <w:lang w:val="en-US"/>
        </w:rPr>
        <w:t>N</w:t>
      </w:r>
      <w:r w:rsidR="00DB5E94" w:rsidRPr="00B60B17">
        <w:rPr>
          <w:lang w:val="en-US"/>
        </w:rPr>
        <w:t xml:space="preserve">ES Working Papers, No.248 </w:t>
      </w:r>
    </w:p>
    <w:p w:rsidR="00DB5E94" w:rsidRPr="00B60B17" w:rsidRDefault="0084461A" w:rsidP="00B60B17">
      <w:pPr>
        <w:pStyle w:val="Heading1"/>
        <w:numPr>
          <w:ilvl w:val="0"/>
          <w:numId w:val="15"/>
        </w:numPr>
        <w:spacing w:before="0" w:after="0"/>
        <w:jc w:val="both"/>
        <w:rPr>
          <w:rFonts w:ascii="Times New Roman" w:hAnsi="Times New Roman"/>
          <w:b w:val="0"/>
          <w:sz w:val="24"/>
          <w:szCs w:val="24"/>
          <w:lang w:val="en-US"/>
        </w:rPr>
      </w:pPr>
      <w:hyperlink r:id="rId68" w:history="1">
        <w:r w:rsidR="00DB5E94" w:rsidRPr="00B60B17">
          <w:rPr>
            <w:rStyle w:val="Hyperlink"/>
            <w:rFonts w:ascii="Times New Roman" w:hAnsi="Times New Roman"/>
            <w:b w:val="0"/>
            <w:sz w:val="24"/>
            <w:szCs w:val="24"/>
            <w:lang w:val="en-US"/>
          </w:rPr>
          <w:t>Growth through acquisition of innovations</w:t>
        </w:r>
      </w:hyperlink>
      <w:r w:rsidR="00DB5E94" w:rsidRPr="00B60B17">
        <w:rPr>
          <w:rFonts w:ascii="Times New Roman" w:hAnsi="Times New Roman"/>
          <w:b w:val="0"/>
          <w:sz w:val="24"/>
          <w:szCs w:val="24"/>
          <w:lang w:val="en-US"/>
        </w:rPr>
        <w:t xml:space="preserve"> (2018) CEFIR/NES Working Papers, No.247 (with </w:t>
      </w:r>
      <w:proofErr w:type="spellStart"/>
      <w:r w:rsidR="00DB5E94" w:rsidRPr="00B60B17">
        <w:rPr>
          <w:rFonts w:ascii="Times New Roman" w:hAnsi="Times New Roman"/>
          <w:b w:val="0"/>
          <w:sz w:val="24"/>
          <w:szCs w:val="24"/>
          <w:lang w:val="en-US"/>
        </w:rPr>
        <w:t>R.Dasher</w:t>
      </w:r>
      <w:proofErr w:type="spellEnd"/>
      <w:r w:rsidR="00DB5E94" w:rsidRPr="00B60B17">
        <w:rPr>
          <w:rFonts w:ascii="Times New Roman" w:hAnsi="Times New Roman"/>
          <w:b w:val="0"/>
          <w:sz w:val="24"/>
          <w:szCs w:val="24"/>
          <w:lang w:val="en-US"/>
        </w:rPr>
        <w:t xml:space="preserve"> and </w:t>
      </w:r>
      <w:proofErr w:type="spellStart"/>
      <w:r w:rsidR="00DB5E94" w:rsidRPr="00B60B17">
        <w:rPr>
          <w:rFonts w:ascii="Times New Roman" w:hAnsi="Times New Roman"/>
          <w:b w:val="0"/>
          <w:sz w:val="24"/>
          <w:szCs w:val="24"/>
          <w:lang w:val="en-US"/>
        </w:rPr>
        <w:t>S.Golovan</w:t>
      </w:r>
      <w:proofErr w:type="spellEnd"/>
      <w:r w:rsidR="00DB5E94" w:rsidRPr="00B60B17">
        <w:rPr>
          <w:rFonts w:ascii="Times New Roman" w:hAnsi="Times New Roman"/>
          <w:b w:val="0"/>
          <w:sz w:val="24"/>
          <w:szCs w:val="24"/>
          <w:lang w:val="en-US"/>
        </w:rPr>
        <w:t>)</w:t>
      </w:r>
    </w:p>
    <w:p w:rsidR="00DB5E94" w:rsidRPr="00B60B17" w:rsidRDefault="0084461A" w:rsidP="00B60B17">
      <w:pPr>
        <w:pStyle w:val="Heading1"/>
        <w:numPr>
          <w:ilvl w:val="0"/>
          <w:numId w:val="15"/>
        </w:numPr>
        <w:spacing w:before="0" w:after="0"/>
        <w:jc w:val="both"/>
        <w:rPr>
          <w:rFonts w:ascii="Times New Roman" w:hAnsi="Times New Roman"/>
          <w:b w:val="0"/>
          <w:sz w:val="24"/>
          <w:szCs w:val="24"/>
          <w:lang w:val="en-US"/>
        </w:rPr>
      </w:pPr>
      <w:hyperlink r:id="rId69" w:history="1">
        <w:r w:rsidR="00DB5E94" w:rsidRPr="00B60B17">
          <w:rPr>
            <w:rStyle w:val="Hyperlink"/>
            <w:rFonts w:ascii="Times New Roman" w:hAnsi="Times New Roman"/>
            <w:b w:val="0"/>
            <w:sz w:val="24"/>
            <w:szCs w:val="24"/>
            <w:lang w:val="en-US"/>
          </w:rPr>
          <w:t>Technological change, energy, environment and economic growth in Japan</w:t>
        </w:r>
      </w:hyperlink>
      <w:r w:rsidR="00DB5E94" w:rsidRPr="00B60B17">
        <w:rPr>
          <w:rFonts w:ascii="Times New Roman" w:hAnsi="Times New Roman"/>
          <w:b w:val="0"/>
          <w:sz w:val="24"/>
          <w:szCs w:val="24"/>
          <w:lang w:val="en-US"/>
        </w:rPr>
        <w:t xml:space="preserve"> (2017) CEFIR/NES Working Papers, No.245 (with </w:t>
      </w:r>
      <w:proofErr w:type="spellStart"/>
      <w:r w:rsidR="00DB5E94" w:rsidRPr="00B60B17">
        <w:rPr>
          <w:rFonts w:ascii="Times New Roman" w:hAnsi="Times New Roman"/>
          <w:b w:val="0"/>
          <w:sz w:val="24"/>
          <w:szCs w:val="24"/>
          <w:lang w:val="en-US"/>
        </w:rPr>
        <w:t>R.Dasher</w:t>
      </w:r>
      <w:proofErr w:type="spellEnd"/>
      <w:r w:rsidR="00DB5E94" w:rsidRPr="00B60B17">
        <w:rPr>
          <w:rFonts w:ascii="Times New Roman" w:hAnsi="Times New Roman"/>
          <w:b w:val="0"/>
          <w:sz w:val="24"/>
          <w:szCs w:val="24"/>
          <w:lang w:val="en-US"/>
        </w:rPr>
        <w:t xml:space="preserve"> and </w:t>
      </w:r>
      <w:proofErr w:type="spellStart"/>
      <w:r w:rsidR="00DB5E94" w:rsidRPr="00B60B17">
        <w:rPr>
          <w:rFonts w:ascii="Times New Roman" w:hAnsi="Times New Roman"/>
          <w:b w:val="0"/>
          <w:sz w:val="24"/>
          <w:szCs w:val="24"/>
          <w:lang w:val="en-US"/>
        </w:rPr>
        <w:t>S.Golovan</w:t>
      </w:r>
      <w:proofErr w:type="spellEnd"/>
      <w:r w:rsidR="00DB5E94" w:rsidRPr="00B60B17">
        <w:rPr>
          <w:rFonts w:ascii="Times New Roman" w:hAnsi="Times New Roman"/>
          <w:b w:val="0"/>
          <w:sz w:val="24"/>
          <w:szCs w:val="24"/>
          <w:lang w:val="en-US"/>
        </w:rPr>
        <w:t>)</w:t>
      </w:r>
    </w:p>
    <w:p w:rsidR="00DB5E94" w:rsidRPr="00B60B17" w:rsidRDefault="0084461A" w:rsidP="00B60B17">
      <w:pPr>
        <w:pStyle w:val="Heading1"/>
        <w:numPr>
          <w:ilvl w:val="0"/>
          <w:numId w:val="15"/>
        </w:numPr>
        <w:spacing w:before="0" w:after="0"/>
        <w:jc w:val="both"/>
        <w:rPr>
          <w:rFonts w:ascii="Times New Roman" w:hAnsi="Times New Roman"/>
          <w:b w:val="0"/>
          <w:sz w:val="24"/>
          <w:szCs w:val="24"/>
          <w:lang w:val="en-US"/>
        </w:rPr>
      </w:pPr>
      <w:hyperlink r:id="rId70" w:history="1">
        <w:r w:rsidR="00DB5E94" w:rsidRPr="00B60B17">
          <w:rPr>
            <w:rStyle w:val="Hyperlink"/>
            <w:rFonts w:ascii="Times New Roman" w:hAnsi="Times New Roman"/>
            <w:b w:val="0"/>
            <w:sz w:val="24"/>
            <w:szCs w:val="24"/>
            <w:lang w:val="en-US"/>
          </w:rPr>
          <w:t>Robust estimation of cost efficiency in non-parametric frontier models</w:t>
        </w:r>
      </w:hyperlink>
      <w:r w:rsidR="00DB5E94" w:rsidRPr="00B60B17">
        <w:rPr>
          <w:rFonts w:ascii="Times New Roman" w:hAnsi="Times New Roman"/>
          <w:b w:val="0"/>
          <w:sz w:val="24"/>
          <w:szCs w:val="24"/>
          <w:lang w:val="en-US"/>
        </w:rPr>
        <w:t xml:space="preserve"> (2017) CEFIR/NES Working Papers, No.244 (with </w:t>
      </w:r>
      <w:proofErr w:type="spellStart"/>
      <w:r w:rsidR="00DB5E94" w:rsidRPr="00B60B17">
        <w:rPr>
          <w:rFonts w:ascii="Times New Roman" w:hAnsi="Times New Roman"/>
          <w:b w:val="0"/>
          <w:sz w:val="24"/>
          <w:szCs w:val="24"/>
          <w:lang w:val="en-US"/>
        </w:rPr>
        <w:t>J.Simm</w:t>
      </w:r>
      <w:proofErr w:type="spellEnd"/>
      <w:r w:rsidR="00DB5E94" w:rsidRPr="00B60B17">
        <w:rPr>
          <w:rFonts w:ascii="Times New Roman" w:hAnsi="Times New Roman"/>
          <w:b w:val="0"/>
          <w:sz w:val="24"/>
          <w:szCs w:val="24"/>
          <w:lang w:val="en-US"/>
        </w:rPr>
        <w:t xml:space="preserve"> and </w:t>
      </w:r>
      <w:proofErr w:type="spellStart"/>
      <w:r w:rsidR="00DB5E94" w:rsidRPr="00B60B17">
        <w:rPr>
          <w:rFonts w:ascii="Times New Roman" w:hAnsi="Times New Roman"/>
          <w:b w:val="0"/>
          <w:sz w:val="24"/>
          <w:szCs w:val="24"/>
          <w:lang w:val="en-US"/>
        </w:rPr>
        <w:t>S.Golovan</w:t>
      </w:r>
      <w:proofErr w:type="spellEnd"/>
      <w:r w:rsidR="00DB5E94" w:rsidRPr="00B60B17">
        <w:rPr>
          <w:rFonts w:ascii="Times New Roman" w:hAnsi="Times New Roman"/>
          <w:b w:val="0"/>
          <w:sz w:val="24"/>
          <w:szCs w:val="24"/>
          <w:lang w:val="en-US"/>
        </w:rPr>
        <w:t>)</w:t>
      </w:r>
    </w:p>
    <w:p w:rsidR="00DB5E94" w:rsidRPr="00B60B17" w:rsidRDefault="00DB5E94" w:rsidP="00B60B17">
      <w:pPr>
        <w:pStyle w:val="Heading1"/>
        <w:numPr>
          <w:ilvl w:val="0"/>
          <w:numId w:val="15"/>
        </w:numPr>
        <w:spacing w:before="0" w:after="0"/>
        <w:jc w:val="both"/>
        <w:rPr>
          <w:rFonts w:ascii="Times New Roman" w:hAnsi="Times New Roman"/>
          <w:b w:val="0"/>
          <w:sz w:val="24"/>
          <w:szCs w:val="24"/>
          <w:lang w:val="en-US"/>
        </w:rPr>
      </w:pPr>
      <w:r w:rsidRPr="00B60B17">
        <w:rPr>
          <w:rFonts w:ascii="Times New Roman" w:hAnsi="Times New Roman"/>
          <w:b w:val="0"/>
          <w:sz w:val="24"/>
          <w:szCs w:val="24"/>
          <w:lang w:val="en-US"/>
        </w:rPr>
        <w:t xml:space="preserve">Besstremyannaya G. (2015) </w:t>
      </w:r>
      <w:hyperlink r:id="rId71" w:history="1">
        <w:r w:rsidRPr="00B60B17">
          <w:rPr>
            <w:rStyle w:val="Hyperlink"/>
            <w:rFonts w:ascii="Times New Roman" w:hAnsi="Times New Roman"/>
            <w:b w:val="0"/>
            <w:sz w:val="24"/>
            <w:szCs w:val="24"/>
            <w:lang w:val="en-US"/>
          </w:rPr>
          <w:t>The adverse effects of incentives regulation in health care: a comparative analysis with the U.S. and Japanese hospital data</w:t>
        </w:r>
      </w:hyperlink>
      <w:r w:rsidRPr="00B60B17">
        <w:rPr>
          <w:rFonts w:ascii="Times New Roman" w:hAnsi="Times New Roman"/>
          <w:b w:val="0"/>
          <w:sz w:val="24"/>
          <w:szCs w:val="24"/>
          <w:lang w:val="en-US"/>
        </w:rPr>
        <w:t xml:space="preserve"> CEFIR/NES Working Papers, No.218</w:t>
      </w:r>
    </w:p>
    <w:p w:rsidR="00DB5E94" w:rsidRPr="00B60B17" w:rsidRDefault="0084461A" w:rsidP="00B60B17">
      <w:pPr>
        <w:pStyle w:val="Heading1"/>
        <w:numPr>
          <w:ilvl w:val="0"/>
          <w:numId w:val="15"/>
        </w:numPr>
        <w:spacing w:before="0" w:after="0"/>
        <w:jc w:val="both"/>
        <w:rPr>
          <w:rFonts w:ascii="Times New Roman" w:hAnsi="Times New Roman"/>
          <w:b w:val="0"/>
          <w:sz w:val="24"/>
          <w:szCs w:val="24"/>
          <w:lang w:val="en-US"/>
        </w:rPr>
      </w:pPr>
      <w:hyperlink r:id="rId72" w:history="1">
        <w:r w:rsidR="00DB5E94" w:rsidRPr="00B60B17">
          <w:rPr>
            <w:rStyle w:val="Hyperlink"/>
            <w:rFonts w:ascii="Times New Roman" w:hAnsi="Times New Roman"/>
            <w:b w:val="0"/>
            <w:sz w:val="24"/>
            <w:szCs w:val="24"/>
            <w:lang w:val="en-US"/>
          </w:rPr>
          <w:t>Robust non-parametric estimation of cost efficiency with an application to banking industry</w:t>
        </w:r>
      </w:hyperlink>
      <w:r w:rsidR="00DB5E94" w:rsidRPr="00B60B17">
        <w:rPr>
          <w:rFonts w:ascii="Times New Roman" w:hAnsi="Times New Roman"/>
          <w:b w:val="0"/>
          <w:sz w:val="24"/>
          <w:szCs w:val="24"/>
          <w:lang w:val="en-US"/>
        </w:rPr>
        <w:t xml:space="preserve"> (2015) CEFIR/NES Working Papers, No.217 (with </w:t>
      </w:r>
      <w:proofErr w:type="spellStart"/>
      <w:r w:rsidR="00DB5E94" w:rsidRPr="00B60B17">
        <w:rPr>
          <w:rFonts w:ascii="Times New Roman" w:hAnsi="Times New Roman"/>
          <w:b w:val="0"/>
          <w:sz w:val="24"/>
          <w:szCs w:val="24"/>
          <w:lang w:val="en-US"/>
        </w:rPr>
        <w:t>J.Simm</w:t>
      </w:r>
      <w:proofErr w:type="spellEnd"/>
      <w:r w:rsidR="00DB5E94" w:rsidRPr="00B60B17">
        <w:rPr>
          <w:rFonts w:ascii="Times New Roman" w:hAnsi="Times New Roman"/>
          <w:b w:val="0"/>
          <w:sz w:val="24"/>
          <w:szCs w:val="24"/>
          <w:lang w:val="en-US"/>
        </w:rPr>
        <w:t>)</w:t>
      </w:r>
    </w:p>
    <w:p w:rsidR="00DB5E94" w:rsidRPr="00B60B17" w:rsidRDefault="00DB5E94" w:rsidP="00B60B17">
      <w:pPr>
        <w:pStyle w:val="Heading1"/>
        <w:numPr>
          <w:ilvl w:val="0"/>
          <w:numId w:val="15"/>
        </w:numPr>
        <w:spacing w:before="0" w:after="0"/>
        <w:jc w:val="both"/>
        <w:rPr>
          <w:rFonts w:ascii="Times New Roman" w:hAnsi="Times New Roman"/>
          <w:b w:val="0"/>
          <w:sz w:val="24"/>
          <w:szCs w:val="24"/>
          <w:lang w:val="en-US"/>
        </w:rPr>
      </w:pPr>
      <w:r w:rsidRPr="00B60B17">
        <w:rPr>
          <w:rFonts w:ascii="Times New Roman" w:hAnsi="Times New Roman"/>
          <w:b w:val="0"/>
          <w:sz w:val="24"/>
          <w:szCs w:val="24"/>
          <w:lang w:val="en-US"/>
        </w:rPr>
        <w:t xml:space="preserve">Besstremyannaya G. (2014) </w:t>
      </w:r>
      <w:hyperlink r:id="rId73" w:history="1">
        <w:r w:rsidRPr="00B60B17">
          <w:rPr>
            <w:rStyle w:val="Hyperlink"/>
            <w:rFonts w:ascii="Times New Roman" w:hAnsi="Times New Roman"/>
            <w:b w:val="0"/>
            <w:sz w:val="24"/>
            <w:szCs w:val="24"/>
            <w:lang w:val="en-US"/>
          </w:rPr>
          <w:t>The efficiency of labor matching and remuneration reforms</w:t>
        </w:r>
      </w:hyperlink>
      <w:r w:rsidRPr="00B60B17">
        <w:rPr>
          <w:rFonts w:ascii="Times New Roman" w:hAnsi="Times New Roman"/>
          <w:b w:val="0"/>
          <w:sz w:val="24"/>
          <w:szCs w:val="24"/>
          <w:lang w:val="en-US" w:eastAsia="ja-JP"/>
        </w:rPr>
        <w:t xml:space="preserve"> </w:t>
      </w:r>
      <w:r w:rsidRPr="00B60B17">
        <w:rPr>
          <w:rFonts w:ascii="Times New Roman" w:hAnsi="Times New Roman"/>
          <w:b w:val="0"/>
          <w:sz w:val="24"/>
          <w:szCs w:val="24"/>
          <w:lang w:val="en-US"/>
        </w:rPr>
        <w:t>CEFIR/NES Working Papers, No.20</w:t>
      </w:r>
      <w:r w:rsidRPr="00B60B17">
        <w:rPr>
          <w:rFonts w:ascii="Times New Roman" w:hAnsi="Times New Roman"/>
          <w:b w:val="0"/>
          <w:sz w:val="24"/>
          <w:szCs w:val="24"/>
          <w:lang w:val="en-US" w:eastAsia="ja-JP"/>
        </w:rPr>
        <w:t>6</w:t>
      </w:r>
      <w:r w:rsidRPr="00B60B17">
        <w:rPr>
          <w:rFonts w:ascii="Times New Roman" w:hAnsi="Times New Roman"/>
          <w:b w:val="0"/>
          <w:sz w:val="24"/>
          <w:szCs w:val="24"/>
          <w:lang w:val="en-US"/>
        </w:rPr>
        <w:t>.</w:t>
      </w:r>
    </w:p>
    <w:p w:rsidR="00DB5E94" w:rsidRPr="00B60B17" w:rsidRDefault="00DB5E94" w:rsidP="00B60B17">
      <w:pPr>
        <w:numPr>
          <w:ilvl w:val="0"/>
          <w:numId w:val="15"/>
        </w:numPr>
        <w:jc w:val="both"/>
        <w:rPr>
          <w:lang w:val="en-US"/>
        </w:rPr>
      </w:pPr>
      <w:r w:rsidRPr="00B60B17">
        <w:rPr>
          <w:lang w:val="en-US"/>
        </w:rPr>
        <w:t>Besstremyannaya G. (2014)</w:t>
      </w:r>
      <w:r w:rsidRPr="00B60B17">
        <w:rPr>
          <w:b/>
          <w:lang w:val="en-US"/>
        </w:rPr>
        <w:t xml:space="preserve"> </w:t>
      </w:r>
      <w:hyperlink r:id="rId74" w:history="1">
        <w:r w:rsidRPr="00B60B17">
          <w:rPr>
            <w:rStyle w:val="Hyperlink"/>
            <w:lang w:val="en-US"/>
          </w:rPr>
          <w:t>Urban inequity in the performance of social health insurance system: evidence from Russian regions</w:t>
        </w:r>
      </w:hyperlink>
      <w:r w:rsidRPr="00B60B17">
        <w:rPr>
          <w:lang w:val="en-US"/>
        </w:rPr>
        <w:t xml:space="preserve"> CEFIR/NES</w:t>
      </w:r>
      <w:r w:rsidRPr="00B60B17">
        <w:rPr>
          <w:b/>
          <w:lang w:val="en-US"/>
        </w:rPr>
        <w:t xml:space="preserve"> </w:t>
      </w:r>
      <w:r w:rsidRPr="00B60B17">
        <w:rPr>
          <w:lang w:val="en-US"/>
        </w:rPr>
        <w:t>Working Papers, No.204.</w:t>
      </w:r>
    </w:p>
    <w:p w:rsidR="00DB5E94" w:rsidRPr="00B60B17" w:rsidRDefault="0084461A" w:rsidP="00B60B17">
      <w:pPr>
        <w:numPr>
          <w:ilvl w:val="0"/>
          <w:numId w:val="15"/>
        </w:numPr>
        <w:jc w:val="both"/>
        <w:rPr>
          <w:lang w:val="en-US"/>
        </w:rPr>
      </w:pPr>
      <w:hyperlink r:id="rId75" w:history="1">
        <w:r w:rsidR="00DB5E94" w:rsidRPr="00B60B17">
          <w:rPr>
            <w:rStyle w:val="Hyperlink"/>
            <w:lang w:val="en-US"/>
          </w:rPr>
          <w:t>Multi-payer health insurance system in Central and Eastern Europe: evidence from the Czech Republic, Slovakia, and Russia</w:t>
        </w:r>
      </w:hyperlink>
      <w:r w:rsidR="00DB5E94" w:rsidRPr="00B60B17">
        <w:rPr>
          <w:lang w:val="en-US"/>
        </w:rPr>
        <w:t xml:space="preserve"> (2014) CEFIR/NES</w:t>
      </w:r>
      <w:r w:rsidR="00DB5E94" w:rsidRPr="00B60B17">
        <w:rPr>
          <w:b/>
          <w:lang w:val="en-US"/>
        </w:rPr>
        <w:t xml:space="preserve"> </w:t>
      </w:r>
      <w:r w:rsidR="00DB5E94" w:rsidRPr="00B60B17">
        <w:rPr>
          <w:lang w:val="en-US"/>
        </w:rPr>
        <w:t xml:space="preserve">Working Papers, No.203 </w:t>
      </w:r>
      <w:r w:rsidR="00DB5E94" w:rsidRPr="00B60B17">
        <w:rPr>
          <w:lang w:val="en-US" w:eastAsia="ja-JP"/>
        </w:rPr>
        <w:t>(</w:t>
      </w:r>
      <w:r w:rsidR="00DB5E94" w:rsidRPr="00B60B17">
        <w:rPr>
          <w:lang w:val="en-US"/>
        </w:rPr>
        <w:t xml:space="preserve">with </w:t>
      </w:r>
      <w:proofErr w:type="spellStart"/>
      <w:r w:rsidR="00DB5E94" w:rsidRPr="00B60B17">
        <w:rPr>
          <w:lang w:val="en-US"/>
        </w:rPr>
        <w:t>J.Simm</w:t>
      </w:r>
      <w:proofErr w:type="spellEnd"/>
      <w:r w:rsidR="00DB5E94" w:rsidRPr="00B60B17">
        <w:rPr>
          <w:lang w:val="en-US" w:eastAsia="ja-JP"/>
        </w:rPr>
        <w:t>)</w:t>
      </w:r>
      <w:r w:rsidR="00DB5E94" w:rsidRPr="00B60B17">
        <w:rPr>
          <w:lang w:val="en-US"/>
        </w:rPr>
        <w:t xml:space="preserve"> </w:t>
      </w:r>
    </w:p>
    <w:p w:rsidR="00DB5E94" w:rsidRPr="00B60B17" w:rsidRDefault="00DB5E94" w:rsidP="00B60B17">
      <w:pPr>
        <w:numPr>
          <w:ilvl w:val="0"/>
          <w:numId w:val="15"/>
        </w:numPr>
        <w:jc w:val="both"/>
        <w:rPr>
          <w:lang w:val="en-US"/>
        </w:rPr>
      </w:pPr>
      <w:r w:rsidRPr="00B60B17">
        <w:rPr>
          <w:lang w:val="en-US"/>
        </w:rPr>
        <w:t xml:space="preserve">Besstremyannaya G. (2013) </w:t>
      </w:r>
      <w:hyperlink r:id="rId76" w:history="1">
        <w:r w:rsidRPr="00B60B17">
          <w:rPr>
            <w:rStyle w:val="Hyperlink"/>
            <w:lang w:val="en-US"/>
          </w:rPr>
          <w:t>Heterogeneous hospital response to per diem prospective payment system</w:t>
        </w:r>
      </w:hyperlink>
      <w:r w:rsidRPr="00B60B17">
        <w:rPr>
          <w:lang w:val="en-US"/>
        </w:rPr>
        <w:t xml:space="preserve"> CEFIR/NES</w:t>
      </w:r>
      <w:r w:rsidRPr="00B60B17">
        <w:rPr>
          <w:b/>
          <w:lang w:val="en-US"/>
        </w:rPr>
        <w:t xml:space="preserve"> </w:t>
      </w:r>
      <w:r w:rsidRPr="00B60B17">
        <w:rPr>
          <w:lang w:val="en-US"/>
        </w:rPr>
        <w:t>Working Paper</w:t>
      </w:r>
      <w:r w:rsidRPr="00B60B17">
        <w:rPr>
          <w:lang w:val="en-US" w:eastAsia="ja-JP"/>
        </w:rPr>
        <w:t>s</w:t>
      </w:r>
      <w:r w:rsidRPr="00B60B17">
        <w:rPr>
          <w:lang w:val="en-US"/>
        </w:rPr>
        <w:t>, No.193.</w:t>
      </w:r>
    </w:p>
    <w:p w:rsidR="00DB5E94" w:rsidRPr="00B60B17" w:rsidRDefault="0084461A" w:rsidP="00B60B17">
      <w:pPr>
        <w:numPr>
          <w:ilvl w:val="0"/>
          <w:numId w:val="15"/>
        </w:numPr>
        <w:jc w:val="both"/>
        <w:rPr>
          <w:rFonts w:eastAsia="SimSun"/>
          <w:lang w:val="en-US" w:eastAsia="zh-CN"/>
        </w:rPr>
      </w:pPr>
      <w:hyperlink r:id="rId77" w:history="1">
        <w:r w:rsidR="00DB5E94" w:rsidRPr="00B60B17">
          <w:rPr>
            <w:rStyle w:val="Hyperlink"/>
            <w:rFonts w:eastAsia="SimSun"/>
            <w:lang w:val="en-US" w:eastAsia="zh-CN"/>
          </w:rPr>
          <w:t>The impact of private health insurers on the quality of regional health care systems in Russia</w:t>
        </w:r>
      </w:hyperlink>
      <w:r w:rsidR="00DB5E94" w:rsidRPr="00B60B17">
        <w:rPr>
          <w:lang w:val="en-US"/>
        </w:rPr>
        <w:t xml:space="preserve"> </w:t>
      </w:r>
      <w:r w:rsidR="00DB5E94" w:rsidRPr="00B60B17">
        <w:rPr>
          <w:lang w:val="en-US" w:eastAsia="ja-JP"/>
        </w:rPr>
        <w:t>(</w:t>
      </w:r>
      <w:r w:rsidR="00DB5E94" w:rsidRPr="00B60B17">
        <w:rPr>
          <w:lang w:val="en-US"/>
        </w:rPr>
        <w:t xml:space="preserve">with </w:t>
      </w:r>
      <w:proofErr w:type="spellStart"/>
      <w:r w:rsidR="00DB5E94" w:rsidRPr="00B60B17">
        <w:rPr>
          <w:lang w:val="en-US"/>
        </w:rPr>
        <w:t>J.Simm</w:t>
      </w:r>
      <w:proofErr w:type="spellEnd"/>
      <w:r w:rsidR="00DB5E94" w:rsidRPr="00B60B17">
        <w:rPr>
          <w:lang w:val="en-US" w:eastAsia="ja-JP"/>
        </w:rPr>
        <w:t>)</w:t>
      </w:r>
      <w:r w:rsidR="00DB5E94" w:rsidRPr="00B60B17">
        <w:rPr>
          <w:lang w:val="en-US"/>
        </w:rPr>
        <w:t xml:space="preserve"> (2012)</w:t>
      </w:r>
      <w:r w:rsidR="00DB5E94" w:rsidRPr="00B60B17">
        <w:rPr>
          <w:lang w:val="en-US" w:eastAsia="ja-JP"/>
        </w:rPr>
        <w:t xml:space="preserve"> </w:t>
      </w:r>
      <w:r w:rsidR="00DB5E94" w:rsidRPr="00B60B17">
        <w:rPr>
          <w:lang w:val="en-US"/>
        </w:rPr>
        <w:t>CEFIR/NES</w:t>
      </w:r>
      <w:r w:rsidR="00DB5E94" w:rsidRPr="00B60B17">
        <w:rPr>
          <w:b/>
          <w:lang w:val="en-US"/>
        </w:rPr>
        <w:t xml:space="preserve"> </w:t>
      </w:r>
      <w:r w:rsidR="00DB5E94" w:rsidRPr="00B60B17">
        <w:rPr>
          <w:lang w:val="en-US"/>
        </w:rPr>
        <w:t>Working Papers, No.177;</w:t>
      </w:r>
      <w:r w:rsidR="00DB5E94" w:rsidRPr="00B60B17">
        <w:rPr>
          <w:rFonts w:eastAsia="SimSun"/>
          <w:lang w:val="en-US" w:eastAsia="zh-CN"/>
        </w:rPr>
        <w:t xml:space="preserve"> Global Development Network</w:t>
      </w:r>
      <w:r w:rsidR="00DB5E94" w:rsidRPr="00B60B17">
        <w:rPr>
          <w:lang w:val="en-US" w:eastAsia="ja-JP"/>
        </w:rPr>
        <w:t>’s</w:t>
      </w:r>
      <w:r w:rsidR="00DB5E94" w:rsidRPr="00B60B17">
        <w:rPr>
          <w:rFonts w:eastAsia="SimSun"/>
          <w:lang w:val="en-US" w:eastAsia="zh-CN"/>
        </w:rPr>
        <w:t xml:space="preserve"> research paper on Commonwealth of Independent States.</w:t>
      </w:r>
    </w:p>
    <w:p w:rsidR="00DB5E94" w:rsidRPr="00B60B17" w:rsidRDefault="00DB5E94" w:rsidP="00B60B17">
      <w:pPr>
        <w:numPr>
          <w:ilvl w:val="0"/>
          <w:numId w:val="15"/>
        </w:numPr>
        <w:jc w:val="both"/>
        <w:rPr>
          <w:lang w:val="en-US"/>
        </w:rPr>
      </w:pPr>
      <w:r w:rsidRPr="00B60B17">
        <w:rPr>
          <w:lang w:val="en-US"/>
        </w:rPr>
        <w:t xml:space="preserve">Besstremyannaya G. (2012) </w:t>
      </w:r>
      <w:hyperlink r:id="rId78" w:history="1">
        <w:r w:rsidRPr="00B60B17">
          <w:rPr>
            <w:rStyle w:val="Hyperlink"/>
            <w:lang w:val="en-US"/>
          </w:rPr>
          <w:t>Estimating income equity in social health insurance system</w:t>
        </w:r>
      </w:hyperlink>
      <w:r w:rsidRPr="00B60B17">
        <w:rPr>
          <w:lang w:val="en-US"/>
        </w:rPr>
        <w:t xml:space="preserve"> CEFIR/NES Working Papers, No.172; Global Development Network</w:t>
      </w:r>
      <w:r w:rsidRPr="00B60B17">
        <w:rPr>
          <w:lang w:val="en-US" w:eastAsia="ja-JP"/>
        </w:rPr>
        <w:t>’s</w:t>
      </w:r>
      <w:r w:rsidRPr="00B60B17">
        <w:rPr>
          <w:lang w:val="en-US"/>
        </w:rPr>
        <w:t xml:space="preserve"> research paper on South East Asia.</w:t>
      </w:r>
    </w:p>
    <w:p w:rsidR="00DB5E94" w:rsidRPr="00B60B17" w:rsidRDefault="00DB5E94" w:rsidP="00B60B17">
      <w:pPr>
        <w:numPr>
          <w:ilvl w:val="0"/>
          <w:numId w:val="15"/>
        </w:numPr>
        <w:jc w:val="both"/>
        <w:rPr>
          <w:lang w:val="en-US"/>
        </w:rPr>
      </w:pPr>
      <w:r w:rsidRPr="00B60B17">
        <w:rPr>
          <w:lang w:val="en-US"/>
        </w:rPr>
        <w:t xml:space="preserve">Besstremyannaya G. (2012) </w:t>
      </w:r>
      <w:hyperlink r:id="rId79" w:history="1">
        <w:r w:rsidRPr="00B60B17">
          <w:rPr>
            <w:rStyle w:val="Hyperlink"/>
            <w:lang w:val="en-US"/>
          </w:rPr>
          <w:t>Heterogeneous effect of coinsurance rate on the demand for health care:</w:t>
        </w:r>
        <w:r w:rsidRPr="00B60B17">
          <w:rPr>
            <w:rStyle w:val="Hyperlink"/>
            <w:lang w:val="en-US" w:eastAsia="ja-JP"/>
          </w:rPr>
          <w:t xml:space="preserve"> a finite mixture approach</w:t>
        </w:r>
      </w:hyperlink>
      <w:r w:rsidRPr="00B60B17">
        <w:rPr>
          <w:lang w:val="en-US"/>
        </w:rPr>
        <w:t xml:space="preserve"> CEFIR/NES Working Paper</w:t>
      </w:r>
      <w:r w:rsidRPr="00B60B17">
        <w:rPr>
          <w:lang w:val="en-US" w:eastAsia="ja-JP"/>
        </w:rPr>
        <w:t>s,</w:t>
      </w:r>
      <w:r w:rsidRPr="00B60B17">
        <w:rPr>
          <w:lang w:val="en-US"/>
        </w:rPr>
        <w:t xml:space="preserve"> No.163. </w:t>
      </w:r>
    </w:p>
    <w:p w:rsidR="00762D51" w:rsidRPr="00B60B17" w:rsidRDefault="00762D51" w:rsidP="00B60B17">
      <w:pPr>
        <w:jc w:val="both"/>
        <w:rPr>
          <w:lang w:val="en-US"/>
        </w:rPr>
      </w:pPr>
    </w:p>
    <w:p w:rsidR="00762D51" w:rsidRPr="00B60B17" w:rsidRDefault="00762D51" w:rsidP="00B60B17">
      <w:pPr>
        <w:jc w:val="both"/>
        <w:rPr>
          <w:lang w:val="en-US"/>
        </w:rPr>
      </w:pPr>
    </w:p>
    <w:p w:rsidR="00762D51" w:rsidRPr="00B60B17" w:rsidRDefault="00762D51" w:rsidP="00B60B17">
      <w:pPr>
        <w:jc w:val="both"/>
        <w:rPr>
          <w:lang w:val="en-US"/>
        </w:rPr>
      </w:pPr>
    </w:p>
    <w:p w:rsidR="00DB5E94" w:rsidRPr="00B60B17" w:rsidRDefault="00DB5E94" w:rsidP="00B60B17">
      <w:pPr>
        <w:jc w:val="both"/>
        <w:rPr>
          <w:b/>
          <w:bCs/>
          <w:lang w:eastAsia="ja-JP"/>
        </w:rPr>
      </w:pPr>
      <w:r w:rsidRPr="00B60B17">
        <w:rPr>
          <w:b/>
          <w:bCs/>
          <w:lang w:eastAsia="ja-JP"/>
        </w:rPr>
        <w:t>Препринты Американской ассоциации по экономике энергетики</w:t>
      </w:r>
    </w:p>
    <w:p w:rsidR="00DB5E94" w:rsidRPr="00B60B17" w:rsidRDefault="0084461A" w:rsidP="00B60B17">
      <w:pPr>
        <w:numPr>
          <w:ilvl w:val="0"/>
          <w:numId w:val="15"/>
        </w:numPr>
        <w:jc w:val="both"/>
        <w:rPr>
          <w:lang w:val="en-US"/>
        </w:rPr>
      </w:pPr>
      <w:hyperlink r:id="rId80" w:history="1">
        <w:r w:rsidR="00DB5E94" w:rsidRPr="00B60B17">
          <w:rPr>
            <w:rStyle w:val="Hyperlink"/>
            <w:lang w:val="en-US"/>
          </w:rPr>
          <w:t>Technological change, energy, environment and economic growth in Japan</w:t>
        </w:r>
      </w:hyperlink>
      <w:r w:rsidR="00DB5E94" w:rsidRPr="00B60B17">
        <w:rPr>
          <w:lang w:val="en-US"/>
        </w:rPr>
        <w:t xml:space="preserve"> (2019) </w:t>
      </w:r>
      <w:r w:rsidR="00DB5E94" w:rsidRPr="00B60B17">
        <w:rPr>
          <w:lang w:val="en-US" w:eastAsia="ja-JP"/>
        </w:rPr>
        <w:t>United States Association for Energy Economics. Series "USAEE Working Paper". No. 18-377</w:t>
      </w:r>
      <w:hyperlink r:id="rId81" w:tgtFrame="_blank" w:history="1"/>
      <w:r w:rsidR="00DB5E94" w:rsidRPr="00B60B17">
        <w:rPr>
          <w:lang w:val="en-US" w:eastAsia="ja-JP"/>
        </w:rPr>
        <w:t xml:space="preserve">  </w:t>
      </w:r>
      <w:r w:rsidR="00DB5E94" w:rsidRPr="00B60B17">
        <w:rPr>
          <w:shd w:val="clear" w:color="auto" w:fill="FFFFFF"/>
          <w:lang w:val="en-US"/>
        </w:rPr>
        <w:t> </w:t>
      </w:r>
      <w:hyperlink r:id="rId82" w:tgtFrame="_blank" w:history="1">
        <w:r w:rsidR="00DB5E94" w:rsidRPr="00B60B17">
          <w:rPr>
            <w:rStyle w:val="Hyperlink"/>
            <w:shd w:val="clear" w:color="auto" w:fill="FFFFFF"/>
            <w:lang w:val="en-US"/>
          </w:rPr>
          <w:t>http://dx..org/10.2139/ssrn.3307177</w:t>
        </w:r>
      </w:hyperlink>
      <w:r w:rsidR="00DB5E94" w:rsidRPr="00B60B17">
        <w:rPr>
          <w:lang w:val="en-US"/>
        </w:rPr>
        <w:t xml:space="preserve"> (with </w:t>
      </w:r>
      <w:proofErr w:type="spellStart"/>
      <w:r w:rsidR="00DB5E94" w:rsidRPr="00B60B17">
        <w:rPr>
          <w:lang w:val="en-US"/>
        </w:rPr>
        <w:t>R.Dasher</w:t>
      </w:r>
      <w:proofErr w:type="spellEnd"/>
      <w:r w:rsidR="00DB5E94" w:rsidRPr="00B60B17">
        <w:rPr>
          <w:lang w:val="en-US"/>
        </w:rPr>
        <w:t xml:space="preserve"> and </w:t>
      </w:r>
      <w:proofErr w:type="spellStart"/>
      <w:r w:rsidR="00DB5E94" w:rsidRPr="00B60B17">
        <w:rPr>
          <w:lang w:val="en-US"/>
        </w:rPr>
        <w:t>S.Golovan</w:t>
      </w:r>
      <w:proofErr w:type="spellEnd"/>
      <w:r w:rsidR="00DB5E94" w:rsidRPr="00B60B17">
        <w:rPr>
          <w:lang w:val="en-US"/>
        </w:rPr>
        <w:t xml:space="preserve">) </w:t>
      </w:r>
    </w:p>
    <w:p w:rsidR="00DB5E94" w:rsidRPr="00B60B17" w:rsidRDefault="0084461A" w:rsidP="00B60B17">
      <w:pPr>
        <w:numPr>
          <w:ilvl w:val="0"/>
          <w:numId w:val="15"/>
        </w:numPr>
        <w:jc w:val="both"/>
        <w:rPr>
          <w:lang w:val="en-US"/>
        </w:rPr>
      </w:pPr>
      <w:hyperlink r:id="rId83" w:history="1">
        <w:r w:rsidR="00DB5E94" w:rsidRPr="00B60B17">
          <w:rPr>
            <w:rStyle w:val="Hyperlink"/>
            <w:lang w:val="en-US"/>
          </w:rPr>
          <w:t>Technological change, energy, environment and economic growth in Japan</w:t>
        </w:r>
      </w:hyperlink>
      <w:r w:rsidR="00DB5E94" w:rsidRPr="00B60B17">
        <w:rPr>
          <w:lang w:val="en-US"/>
        </w:rPr>
        <w:t xml:space="preserve"> (2018) </w:t>
      </w:r>
      <w:r w:rsidR="00DB5E94" w:rsidRPr="00B60B17">
        <w:rPr>
          <w:lang w:val="en-US" w:eastAsia="ja-JP"/>
        </w:rPr>
        <w:t>United States Association for Energy Economics. Series "USAEE Working Paper". 2018. No. 18-370. </w:t>
      </w:r>
      <w:r w:rsidR="00DB5E94" w:rsidRPr="00B60B17">
        <w:rPr>
          <w:shd w:val="clear" w:color="auto" w:fill="FFFFFF"/>
          <w:lang w:val="en-US"/>
        </w:rPr>
        <w:t> </w:t>
      </w:r>
      <w:hyperlink r:id="rId84" w:tgtFrame="_blank" w:history="1">
        <w:r w:rsidR="00DB5E94" w:rsidRPr="00B60B17">
          <w:rPr>
            <w:rStyle w:val="Hyperlink"/>
            <w:shd w:val="clear" w:color="auto" w:fill="FFFFFF"/>
            <w:lang w:val="en-US"/>
          </w:rPr>
          <w:t>http://dx..org/10.2139/ssrn.3284257</w:t>
        </w:r>
      </w:hyperlink>
      <w:r w:rsidR="00DB5E94" w:rsidRPr="00B60B17">
        <w:rPr>
          <w:lang w:val="en-US"/>
        </w:rPr>
        <w:t xml:space="preserve"> (with </w:t>
      </w:r>
      <w:proofErr w:type="spellStart"/>
      <w:r w:rsidR="00DB5E94" w:rsidRPr="00B60B17">
        <w:rPr>
          <w:lang w:val="en-US"/>
        </w:rPr>
        <w:t>R.Dasher</w:t>
      </w:r>
      <w:proofErr w:type="spellEnd"/>
      <w:r w:rsidR="00DB5E94" w:rsidRPr="00B60B17">
        <w:rPr>
          <w:lang w:val="en-US"/>
        </w:rPr>
        <w:t xml:space="preserve"> and </w:t>
      </w:r>
      <w:proofErr w:type="spellStart"/>
      <w:r w:rsidR="00DB5E94" w:rsidRPr="00B60B17">
        <w:rPr>
          <w:lang w:val="en-US"/>
        </w:rPr>
        <w:t>S.Golovan</w:t>
      </w:r>
      <w:proofErr w:type="spellEnd"/>
      <w:r w:rsidR="00DB5E94" w:rsidRPr="00B60B17">
        <w:rPr>
          <w:lang w:val="en-US"/>
        </w:rPr>
        <w:t xml:space="preserve">) </w:t>
      </w:r>
    </w:p>
    <w:p w:rsidR="00DB5E94" w:rsidRPr="00B60B17" w:rsidRDefault="00DB5E94" w:rsidP="00B60B17">
      <w:pPr>
        <w:jc w:val="both"/>
        <w:rPr>
          <w:lang w:val="en-US"/>
        </w:rPr>
      </w:pPr>
    </w:p>
    <w:p w:rsidR="00DB5E94" w:rsidRPr="00B60B17" w:rsidRDefault="00DB5E94" w:rsidP="00B60B17">
      <w:pPr>
        <w:jc w:val="both"/>
        <w:rPr>
          <w:b/>
          <w:bCs/>
          <w:lang w:val="en-US"/>
        </w:rPr>
      </w:pPr>
      <w:r w:rsidRPr="00B60B17">
        <w:rPr>
          <w:b/>
          <w:lang w:val="en-US"/>
        </w:rPr>
        <w:t>Forum for Research on Eastern Europe and Emerging Economies (Stockholm Institute of Transition Economics)</w:t>
      </w:r>
      <w:r w:rsidRPr="00B60B17">
        <w:rPr>
          <w:b/>
          <w:bCs/>
          <w:lang w:val="en-US"/>
        </w:rPr>
        <w:t>:</w:t>
      </w:r>
    </w:p>
    <w:p w:rsidR="00DB5E94" w:rsidRPr="00B60B17" w:rsidRDefault="00DB5E94" w:rsidP="00B60B17">
      <w:pPr>
        <w:numPr>
          <w:ilvl w:val="0"/>
          <w:numId w:val="15"/>
        </w:numPr>
        <w:jc w:val="both"/>
        <w:rPr>
          <w:lang w:val="en-US"/>
        </w:rPr>
      </w:pPr>
      <w:r w:rsidRPr="00B60B17">
        <w:rPr>
          <w:lang w:val="en-US"/>
        </w:rPr>
        <w:t xml:space="preserve">Besstremyannaya G. (2019)  </w:t>
      </w:r>
      <w:hyperlink r:id="rId85" w:history="1">
        <w:r w:rsidRPr="00B60B17">
          <w:rPr>
            <w:rStyle w:val="Hyperlink"/>
            <w:lang w:val="en-US"/>
          </w:rPr>
          <w:t>Resident altruism and local public goods</w:t>
        </w:r>
      </w:hyperlink>
      <w:r w:rsidRPr="00B60B17">
        <w:rPr>
          <w:lang w:val="en-US"/>
        </w:rPr>
        <w:t xml:space="preserve"> Forum for Research on Eastern Europe and Emerging Economies, Policy Brief Series, April, 2019.</w:t>
      </w:r>
    </w:p>
    <w:p w:rsidR="00DB5E94" w:rsidRPr="00B60B17" w:rsidRDefault="0084461A" w:rsidP="00B60B17">
      <w:pPr>
        <w:numPr>
          <w:ilvl w:val="0"/>
          <w:numId w:val="15"/>
        </w:numPr>
        <w:jc w:val="both"/>
        <w:rPr>
          <w:lang w:val="en-US"/>
        </w:rPr>
      </w:pPr>
      <w:hyperlink r:id="rId86" w:history="1">
        <w:r w:rsidR="00DB5E94" w:rsidRPr="00B60B17">
          <w:rPr>
            <w:rStyle w:val="Hyperlink"/>
            <w:lang w:val="en-US"/>
          </w:rPr>
          <w:t>On economics of innovation subsidies in Russia</w:t>
        </w:r>
      </w:hyperlink>
      <w:r w:rsidR="00DB5E94" w:rsidRPr="00B60B17">
        <w:rPr>
          <w:lang w:val="en-US"/>
        </w:rPr>
        <w:t xml:space="preserve"> (with </w:t>
      </w:r>
      <w:proofErr w:type="spellStart"/>
      <w:r w:rsidR="00DB5E94" w:rsidRPr="00B60B17">
        <w:rPr>
          <w:lang w:val="en-US"/>
        </w:rPr>
        <w:t>S.Golovan</w:t>
      </w:r>
      <w:proofErr w:type="spellEnd"/>
      <w:r w:rsidR="00DB5E94" w:rsidRPr="00B60B17">
        <w:rPr>
          <w:lang w:val="en-US"/>
        </w:rPr>
        <w:t xml:space="preserve"> and </w:t>
      </w:r>
      <w:proofErr w:type="spellStart"/>
      <w:r w:rsidR="00DB5E94" w:rsidRPr="00B60B17">
        <w:rPr>
          <w:lang w:val="en-US"/>
        </w:rPr>
        <w:t>G.Senchenya</w:t>
      </w:r>
      <w:proofErr w:type="spellEnd"/>
      <w:r w:rsidR="00DB5E94" w:rsidRPr="00B60B17">
        <w:rPr>
          <w:lang w:val="en-US"/>
        </w:rPr>
        <w:t>) Forum for Research on Eastern Europe and Emerging Economies, Policy Brief Series, October, 2017.</w:t>
      </w:r>
    </w:p>
    <w:p w:rsidR="00DB5E94" w:rsidRPr="00B60B17" w:rsidRDefault="00DB5E94" w:rsidP="00B60B17">
      <w:pPr>
        <w:numPr>
          <w:ilvl w:val="0"/>
          <w:numId w:val="15"/>
        </w:numPr>
        <w:jc w:val="both"/>
        <w:rPr>
          <w:lang w:val="en-US"/>
        </w:rPr>
      </w:pPr>
      <w:r w:rsidRPr="00B60B17">
        <w:rPr>
          <w:lang w:val="en-US"/>
        </w:rPr>
        <w:t xml:space="preserve">Besstremyannaya G. (2016) </w:t>
      </w:r>
      <w:hyperlink r:id="rId87" w:history="1">
        <w:r w:rsidRPr="00B60B17">
          <w:rPr>
            <w:rStyle w:val="Hyperlink"/>
            <w:lang w:val="en-US"/>
          </w:rPr>
          <w:t>Pay for performance and quality of health care: lessons from Medicare reforms</w:t>
        </w:r>
      </w:hyperlink>
      <w:r w:rsidRPr="00B60B17">
        <w:rPr>
          <w:lang w:val="en-US"/>
        </w:rPr>
        <w:t xml:space="preserve"> Forum for Research on Eastern Europe and Emerging Economies, Policy Brief Series, October, 2016.</w:t>
      </w:r>
    </w:p>
    <w:p w:rsidR="00DB5E94" w:rsidRPr="00B60B17" w:rsidRDefault="00DB5E94" w:rsidP="00B60B17">
      <w:pPr>
        <w:numPr>
          <w:ilvl w:val="0"/>
          <w:numId w:val="15"/>
        </w:numPr>
        <w:jc w:val="both"/>
        <w:rPr>
          <w:lang w:val="en-US"/>
        </w:rPr>
      </w:pPr>
      <w:r w:rsidRPr="00B60B17">
        <w:rPr>
          <w:lang w:val="en-US"/>
        </w:rPr>
        <w:lastRenderedPageBreak/>
        <w:t xml:space="preserve">Besstremyannaya G. (2013) </w:t>
      </w:r>
      <w:hyperlink r:id="rId88" w:history="1">
        <w:r w:rsidRPr="00B60B17">
          <w:rPr>
            <w:rStyle w:val="Hyperlink"/>
            <w:lang w:val="en-US"/>
          </w:rPr>
          <w:t>Managed Competition in Health Insurance Systems in Central and Eastern Europe</w:t>
        </w:r>
      </w:hyperlink>
      <w:r w:rsidRPr="00B60B17">
        <w:rPr>
          <w:lang w:val="en-US"/>
        </w:rPr>
        <w:t xml:space="preserve">, Forum for Research on Eastern Europe and Emerging Economies, Policy Brief Series, October, 2013 </w:t>
      </w:r>
    </w:p>
    <w:p w:rsidR="00DB5E94" w:rsidRPr="00B60B17" w:rsidRDefault="00DB5E94" w:rsidP="00B60B17">
      <w:pPr>
        <w:jc w:val="both"/>
        <w:rPr>
          <w:lang w:val="en-US"/>
        </w:rPr>
      </w:pPr>
    </w:p>
    <w:p w:rsidR="00DB5E94" w:rsidRPr="00B60B17" w:rsidRDefault="00DB5E94" w:rsidP="00B60B17">
      <w:pPr>
        <w:jc w:val="both"/>
        <w:rPr>
          <w:b/>
          <w:lang w:val="en-US"/>
        </w:rPr>
      </w:pPr>
      <w:r w:rsidRPr="00B60B17">
        <w:rPr>
          <w:b/>
        </w:rPr>
        <w:t>Препринты</w:t>
      </w:r>
      <w:r w:rsidRPr="00B60B17">
        <w:rPr>
          <w:b/>
          <w:lang w:val="en-US"/>
        </w:rPr>
        <w:t xml:space="preserve"> </w:t>
      </w:r>
      <w:r w:rsidRPr="00B60B17">
        <w:rPr>
          <w:b/>
        </w:rPr>
        <w:t>международных</w:t>
      </w:r>
      <w:r w:rsidRPr="00B60B17">
        <w:rPr>
          <w:b/>
          <w:lang w:val="en-US"/>
        </w:rPr>
        <w:t xml:space="preserve"> </w:t>
      </w:r>
      <w:r w:rsidRPr="00B60B17">
        <w:rPr>
          <w:b/>
        </w:rPr>
        <w:t>научных</w:t>
      </w:r>
      <w:r w:rsidRPr="00B60B17">
        <w:rPr>
          <w:b/>
          <w:lang w:val="en-US"/>
        </w:rPr>
        <w:t xml:space="preserve"> </w:t>
      </w:r>
      <w:r w:rsidRPr="00B60B17">
        <w:rPr>
          <w:b/>
        </w:rPr>
        <w:t>конференций</w:t>
      </w:r>
      <w:r w:rsidRPr="00B60B17">
        <w:rPr>
          <w:b/>
          <w:lang w:val="en-US"/>
        </w:rPr>
        <w:t xml:space="preserve"> </w:t>
      </w:r>
    </w:p>
    <w:p w:rsidR="00DB5E94" w:rsidRPr="00B60B17" w:rsidRDefault="00DB5E94" w:rsidP="00B60B17">
      <w:pPr>
        <w:numPr>
          <w:ilvl w:val="0"/>
          <w:numId w:val="15"/>
        </w:numPr>
        <w:jc w:val="both"/>
      </w:pPr>
      <w:r w:rsidRPr="00B60B17">
        <w:rPr>
          <w:lang w:val="en-US"/>
        </w:rPr>
        <w:t xml:space="preserve">Besstremyannaya G., Golovan S. (2021) Heterogeneous effect of incentive contracts. 2021 Annual congress of the European Economic Association, </w:t>
      </w:r>
      <w:proofErr w:type="gramStart"/>
      <w:r w:rsidRPr="00B60B17">
        <w:rPr>
          <w:lang w:val="en-US"/>
        </w:rPr>
        <w:t>virtual  /</w:t>
      </w:r>
      <w:proofErr w:type="gramEnd"/>
      <w:r w:rsidRPr="00B60B17">
        <w:rPr>
          <w:lang w:val="en-US"/>
        </w:rPr>
        <w:t xml:space="preserve"> </w:t>
      </w:r>
      <w:r w:rsidRPr="00B60B17">
        <w:t>Ежегодный</w:t>
      </w:r>
      <w:r w:rsidRPr="00B60B17">
        <w:rPr>
          <w:lang w:val="en-US"/>
        </w:rPr>
        <w:t xml:space="preserve"> </w:t>
      </w:r>
      <w:r w:rsidRPr="00B60B17">
        <w:t>конгресс</w:t>
      </w:r>
      <w:r w:rsidRPr="00B60B17">
        <w:rPr>
          <w:lang w:val="en-US"/>
        </w:rPr>
        <w:t xml:space="preserve"> </w:t>
      </w:r>
      <w:r w:rsidRPr="00B60B17">
        <w:t>Европейской</w:t>
      </w:r>
      <w:r w:rsidRPr="00B60B17">
        <w:rPr>
          <w:lang w:val="en-US"/>
        </w:rPr>
        <w:t xml:space="preserve"> </w:t>
      </w:r>
      <w:r w:rsidRPr="00B60B17">
        <w:t>экономической</w:t>
      </w:r>
      <w:r w:rsidRPr="00B60B17">
        <w:rPr>
          <w:lang w:val="en-US"/>
        </w:rPr>
        <w:t xml:space="preserve"> </w:t>
      </w:r>
      <w:r w:rsidRPr="00B60B17">
        <w:t>ассоциации</w:t>
      </w:r>
      <w:r w:rsidRPr="00B60B17">
        <w:rPr>
          <w:lang w:val="en-US"/>
        </w:rPr>
        <w:t xml:space="preserve">. </w:t>
      </w:r>
      <w:hyperlink r:id="rId89" w:history="1">
        <w:r w:rsidRPr="00B60B17">
          <w:rPr>
            <w:rStyle w:val="Hyperlink"/>
            <w:lang w:val="en-US"/>
          </w:rPr>
          <w:t>https</w:t>
        </w:r>
        <w:r w:rsidRPr="00B60B17">
          <w:rPr>
            <w:rStyle w:val="Hyperlink"/>
          </w:rPr>
          <w:t>://</w:t>
        </w:r>
        <w:r w:rsidRPr="00B60B17">
          <w:rPr>
            <w:rStyle w:val="Hyperlink"/>
            <w:lang w:val="en-US"/>
          </w:rPr>
          <w:t>congress</w:t>
        </w:r>
        <w:r w:rsidRPr="00B60B17">
          <w:rPr>
            <w:rStyle w:val="Hyperlink"/>
          </w:rPr>
          <w:t>-</w:t>
        </w:r>
        <w:r w:rsidRPr="00B60B17">
          <w:rPr>
            <w:rStyle w:val="Hyperlink"/>
            <w:lang w:val="en-US"/>
          </w:rPr>
          <w:t>creator</w:t>
        </w:r>
        <w:r w:rsidRPr="00B60B17">
          <w:rPr>
            <w:rStyle w:val="Hyperlink"/>
          </w:rPr>
          <w:t>-</w:t>
        </w:r>
        <w:r w:rsidRPr="00B60B17">
          <w:rPr>
            <w:rStyle w:val="Hyperlink"/>
            <w:lang w:val="en-US"/>
          </w:rPr>
          <w:t>final</w:t>
        </w:r>
        <w:r w:rsidRPr="00B60B17">
          <w:rPr>
            <w:rStyle w:val="Hyperlink"/>
          </w:rPr>
          <w:t>.</w:t>
        </w:r>
        <w:r w:rsidRPr="00B60B17">
          <w:rPr>
            <w:rStyle w:val="Hyperlink"/>
            <w:lang w:val="en-US"/>
          </w:rPr>
          <w:t>s</w:t>
        </w:r>
        <w:r w:rsidRPr="00B60B17">
          <w:rPr>
            <w:rStyle w:val="Hyperlink"/>
          </w:rPr>
          <w:t>3.</w:t>
        </w:r>
        <w:proofErr w:type="spellStart"/>
        <w:r w:rsidRPr="00B60B17">
          <w:rPr>
            <w:rStyle w:val="Hyperlink"/>
            <w:lang w:val="en-US"/>
          </w:rPr>
          <w:t>amazonaws</w:t>
        </w:r>
        <w:proofErr w:type="spellEnd"/>
        <w:r w:rsidRPr="00B60B17">
          <w:rPr>
            <w:rStyle w:val="Hyperlink"/>
          </w:rPr>
          <w:t>.</w:t>
        </w:r>
        <w:r w:rsidRPr="00B60B17">
          <w:rPr>
            <w:rStyle w:val="Hyperlink"/>
            <w:lang w:val="en-US"/>
          </w:rPr>
          <w:t>com</w:t>
        </w:r>
        <w:r w:rsidRPr="00B60B17">
          <w:rPr>
            <w:rStyle w:val="Hyperlink"/>
          </w:rPr>
          <w:t>/</w:t>
        </w:r>
        <w:r w:rsidRPr="00B60B17">
          <w:rPr>
            <w:rStyle w:val="Hyperlink"/>
            <w:lang w:val="en-US"/>
          </w:rPr>
          <w:t>s</w:t>
        </w:r>
        <w:r w:rsidRPr="00B60B17">
          <w:rPr>
            <w:rStyle w:val="Hyperlink"/>
          </w:rPr>
          <w:t>3</w:t>
        </w:r>
        <w:r w:rsidRPr="00B60B17">
          <w:rPr>
            <w:rStyle w:val="Hyperlink"/>
            <w:lang w:val="en-US"/>
          </w:rPr>
          <w:t>fs</w:t>
        </w:r>
        <w:r w:rsidRPr="00B60B17">
          <w:rPr>
            <w:rStyle w:val="Hyperlink"/>
          </w:rPr>
          <w:t>-</w:t>
        </w:r>
        <w:r w:rsidRPr="00B60B17">
          <w:rPr>
            <w:rStyle w:val="Hyperlink"/>
            <w:lang w:val="en-US"/>
          </w:rPr>
          <w:t>private</w:t>
        </w:r>
        <w:r w:rsidRPr="00B60B17">
          <w:rPr>
            <w:rStyle w:val="Hyperlink"/>
          </w:rPr>
          <w:t>/2021-02/</w:t>
        </w:r>
        <w:r w:rsidRPr="00B60B17">
          <w:rPr>
            <w:rStyle w:val="Hyperlink"/>
            <w:lang w:val="en-US"/>
          </w:rPr>
          <w:t>US</w:t>
        </w:r>
        <w:r w:rsidRPr="00B60B17">
          <w:rPr>
            <w:rStyle w:val="Hyperlink"/>
          </w:rPr>
          <w:t>-</w:t>
        </w:r>
        <w:r w:rsidRPr="00B60B17">
          <w:rPr>
            <w:rStyle w:val="Hyperlink"/>
            <w:lang w:val="en-US"/>
          </w:rPr>
          <w:t>P</w:t>
        </w:r>
        <w:r w:rsidRPr="00B60B17">
          <w:rPr>
            <w:rStyle w:val="Hyperlink"/>
          </w:rPr>
          <w:t>4</w:t>
        </w:r>
        <w:r w:rsidRPr="00B60B17">
          <w:rPr>
            <w:rStyle w:val="Hyperlink"/>
            <w:lang w:val="en-US"/>
          </w:rPr>
          <w:t>P</w:t>
        </w:r>
        <w:r w:rsidRPr="00B60B17">
          <w:rPr>
            <w:rStyle w:val="Hyperlink"/>
          </w:rPr>
          <w:t>-</w:t>
        </w:r>
        <w:r w:rsidRPr="00B60B17">
          <w:rPr>
            <w:rStyle w:val="Hyperlink"/>
            <w:lang w:val="en-US"/>
          </w:rPr>
          <w:t>paper</w:t>
        </w:r>
        <w:r w:rsidRPr="00B60B17">
          <w:rPr>
            <w:rStyle w:val="Hyperlink"/>
          </w:rPr>
          <w:t>.</w:t>
        </w:r>
        <w:r w:rsidRPr="00B60B17">
          <w:rPr>
            <w:rStyle w:val="Hyperlink"/>
            <w:lang w:val="en-US"/>
          </w:rPr>
          <w:t>pdf</w:t>
        </w:r>
      </w:hyperlink>
    </w:p>
    <w:p w:rsidR="00DB5E94" w:rsidRPr="00B60B17" w:rsidRDefault="00DB5E94" w:rsidP="00B60B17">
      <w:pPr>
        <w:numPr>
          <w:ilvl w:val="0"/>
          <w:numId w:val="15"/>
        </w:numPr>
        <w:jc w:val="both"/>
      </w:pPr>
      <w:r w:rsidRPr="00B60B17">
        <w:rPr>
          <w:lang w:val="en-US"/>
        </w:rPr>
        <w:t>Besstre</w:t>
      </w:r>
      <w:r w:rsidRPr="00B60B17">
        <w:rPr>
          <w:lang w:val="en-US" w:eastAsia="ja-JP"/>
        </w:rPr>
        <w:t>myannaya</w:t>
      </w:r>
      <w:r w:rsidRPr="00B60B17">
        <w:rPr>
          <w:lang w:eastAsia="ja-JP"/>
        </w:rPr>
        <w:t xml:space="preserve"> </w:t>
      </w:r>
      <w:r w:rsidRPr="00B60B17">
        <w:rPr>
          <w:lang w:val="en-US" w:eastAsia="ja-JP"/>
        </w:rPr>
        <w:t>G</w:t>
      </w:r>
      <w:r w:rsidRPr="00B60B17">
        <w:rPr>
          <w:lang w:eastAsia="ja-JP"/>
        </w:rPr>
        <w:t xml:space="preserve">., </w:t>
      </w:r>
      <w:r w:rsidRPr="00B60B17">
        <w:rPr>
          <w:lang w:val="en-US" w:eastAsia="ja-JP"/>
        </w:rPr>
        <w:t>Dasher</w:t>
      </w:r>
      <w:r w:rsidRPr="00B60B17">
        <w:rPr>
          <w:lang w:eastAsia="ja-JP"/>
        </w:rPr>
        <w:t xml:space="preserve"> </w:t>
      </w:r>
      <w:r w:rsidRPr="00B60B17">
        <w:rPr>
          <w:lang w:val="en-US" w:eastAsia="ja-JP"/>
        </w:rPr>
        <w:t>R</w:t>
      </w:r>
      <w:r w:rsidRPr="00B60B17">
        <w:rPr>
          <w:lang w:eastAsia="ja-JP"/>
        </w:rPr>
        <w:t xml:space="preserve">., </w:t>
      </w:r>
      <w:r w:rsidRPr="00B60B17">
        <w:rPr>
          <w:lang w:val="en-US" w:eastAsia="ja-JP"/>
        </w:rPr>
        <w:t>Golovan</w:t>
      </w:r>
      <w:r w:rsidRPr="00B60B17">
        <w:rPr>
          <w:lang w:eastAsia="ja-JP"/>
        </w:rPr>
        <w:t xml:space="preserve"> </w:t>
      </w:r>
      <w:r w:rsidRPr="00B60B17">
        <w:rPr>
          <w:lang w:val="en-US" w:eastAsia="ja-JP"/>
        </w:rPr>
        <w:t>S</w:t>
      </w:r>
      <w:r w:rsidRPr="00B60B17">
        <w:rPr>
          <w:lang w:eastAsia="ja-JP"/>
        </w:rPr>
        <w:t xml:space="preserve">. (2019) </w:t>
      </w:r>
      <w:r w:rsidRPr="00B60B17">
        <w:rPr>
          <w:lang w:val="en-US"/>
        </w:rPr>
        <w:t>Growth</w:t>
      </w:r>
      <w:r w:rsidRPr="00B60B17">
        <w:t xml:space="preserve"> </w:t>
      </w:r>
      <w:r w:rsidRPr="00B60B17">
        <w:rPr>
          <w:lang w:val="en-US"/>
        </w:rPr>
        <w:t>through</w:t>
      </w:r>
      <w:r w:rsidRPr="00B60B17">
        <w:t xml:space="preserve"> </w:t>
      </w:r>
      <w:r w:rsidRPr="00B60B17">
        <w:rPr>
          <w:lang w:val="en-US"/>
        </w:rPr>
        <w:t>acquisition</w:t>
      </w:r>
      <w:r w:rsidRPr="00B60B17">
        <w:t xml:space="preserve"> </w:t>
      </w:r>
      <w:r w:rsidRPr="00B60B17">
        <w:rPr>
          <w:lang w:val="en-US"/>
        </w:rPr>
        <w:t>of</w:t>
      </w:r>
      <w:r w:rsidRPr="00B60B17">
        <w:t xml:space="preserve"> </w:t>
      </w:r>
      <w:r w:rsidRPr="00B60B17">
        <w:rPr>
          <w:lang w:val="en-US"/>
        </w:rPr>
        <w:t>innovations</w:t>
      </w:r>
      <w:r w:rsidRPr="00B60B17">
        <w:tab/>
      </w:r>
      <w:r w:rsidRPr="00B60B17">
        <w:rPr>
          <w:lang w:val="en-US"/>
        </w:rPr>
        <w:t>Northwestern</w:t>
      </w:r>
      <w:r w:rsidRPr="00B60B17">
        <w:t xml:space="preserve"> </w:t>
      </w:r>
      <w:r w:rsidRPr="00B60B17">
        <w:rPr>
          <w:lang w:val="en-US"/>
        </w:rPr>
        <w:t>University</w:t>
      </w:r>
      <w:r w:rsidRPr="00B60B17">
        <w:t>, 12</w:t>
      </w:r>
      <w:proofErr w:type="spellStart"/>
      <w:r w:rsidRPr="00B60B17">
        <w:rPr>
          <w:lang w:val="en-US"/>
        </w:rPr>
        <w:t>th</w:t>
      </w:r>
      <w:proofErr w:type="spellEnd"/>
      <w:r w:rsidRPr="00B60B17">
        <w:t xml:space="preserve"> </w:t>
      </w:r>
      <w:r w:rsidRPr="00B60B17">
        <w:rPr>
          <w:lang w:val="en-US"/>
        </w:rPr>
        <w:t>Annual</w:t>
      </w:r>
      <w:r w:rsidRPr="00B60B17">
        <w:t xml:space="preserve"> </w:t>
      </w:r>
      <w:r w:rsidRPr="00B60B17">
        <w:rPr>
          <w:lang w:val="en-US"/>
        </w:rPr>
        <w:t>conference</w:t>
      </w:r>
      <w:r w:rsidRPr="00B60B17">
        <w:t xml:space="preserve"> </w:t>
      </w:r>
      <w:r w:rsidRPr="00B60B17">
        <w:rPr>
          <w:lang w:val="en-US"/>
        </w:rPr>
        <w:t>on</w:t>
      </w:r>
      <w:r w:rsidRPr="00B60B17">
        <w:t xml:space="preserve"> </w:t>
      </w:r>
      <w:r w:rsidRPr="00B60B17">
        <w:rPr>
          <w:lang w:val="en-US"/>
        </w:rPr>
        <w:t>innovation</w:t>
      </w:r>
      <w:r w:rsidRPr="00B60B17">
        <w:t xml:space="preserve"> </w:t>
      </w:r>
      <w:r w:rsidRPr="00B60B17">
        <w:rPr>
          <w:lang w:val="en-US"/>
        </w:rPr>
        <w:t>economics</w:t>
      </w:r>
      <w:r w:rsidRPr="00B60B17">
        <w:t xml:space="preserve">, </w:t>
      </w:r>
      <w:hyperlink r:id="rId90" w:history="1">
        <w:r w:rsidRPr="00B60B17">
          <w:rPr>
            <w:rStyle w:val="Hyperlink"/>
            <w:lang w:val="en-US"/>
          </w:rPr>
          <w:t>https</w:t>
        </w:r>
        <w:r w:rsidRPr="00B60B17">
          <w:rPr>
            <w:rStyle w:val="Hyperlink"/>
          </w:rPr>
          <w:t>://</w:t>
        </w:r>
        <w:r w:rsidRPr="00B60B17">
          <w:rPr>
            <w:rStyle w:val="Hyperlink"/>
            <w:lang w:val="en-US"/>
          </w:rPr>
          <w:t>www</w:t>
        </w:r>
        <w:r w:rsidRPr="00B60B17">
          <w:rPr>
            <w:rStyle w:val="Hyperlink"/>
          </w:rPr>
          <w:t>.</w:t>
        </w:r>
        <w:r w:rsidRPr="00B60B17">
          <w:rPr>
            <w:rStyle w:val="Hyperlink"/>
            <w:lang w:val="en-US"/>
          </w:rPr>
          <w:t>law</w:t>
        </w:r>
        <w:r w:rsidRPr="00B60B17">
          <w:rPr>
            <w:rStyle w:val="Hyperlink"/>
          </w:rPr>
          <w:t>.</w:t>
        </w:r>
        <w:r w:rsidRPr="00B60B17">
          <w:rPr>
            <w:rStyle w:val="Hyperlink"/>
            <w:lang w:val="en-US"/>
          </w:rPr>
          <w:t>northwestern</w:t>
        </w:r>
        <w:r w:rsidRPr="00B60B17">
          <w:rPr>
            <w:rStyle w:val="Hyperlink"/>
          </w:rPr>
          <w:t>.</w:t>
        </w:r>
        <w:proofErr w:type="spellStart"/>
        <w:r w:rsidRPr="00B60B17">
          <w:rPr>
            <w:rStyle w:val="Hyperlink"/>
            <w:lang w:val="en-US"/>
          </w:rPr>
          <w:t>edu</w:t>
        </w:r>
        <w:proofErr w:type="spellEnd"/>
        <w:r w:rsidRPr="00B60B17">
          <w:rPr>
            <w:rStyle w:val="Hyperlink"/>
          </w:rPr>
          <w:t>/</w:t>
        </w:r>
        <w:r w:rsidRPr="00B60B17">
          <w:rPr>
            <w:rStyle w:val="Hyperlink"/>
            <w:lang w:val="en-US"/>
          </w:rPr>
          <w:t>research</w:t>
        </w:r>
        <w:r w:rsidRPr="00B60B17">
          <w:rPr>
            <w:rStyle w:val="Hyperlink"/>
          </w:rPr>
          <w:t>-</w:t>
        </w:r>
        <w:r w:rsidRPr="00B60B17">
          <w:rPr>
            <w:rStyle w:val="Hyperlink"/>
            <w:lang w:val="en-US"/>
          </w:rPr>
          <w:t>faculty</w:t>
        </w:r>
        <w:r w:rsidRPr="00B60B17">
          <w:rPr>
            <w:rStyle w:val="Hyperlink"/>
          </w:rPr>
          <w:t>/</w:t>
        </w:r>
        <w:proofErr w:type="spellStart"/>
        <w:r w:rsidRPr="00B60B17">
          <w:rPr>
            <w:rStyle w:val="Hyperlink"/>
            <w:lang w:val="en-US"/>
          </w:rPr>
          <w:t>clbe</w:t>
        </w:r>
        <w:proofErr w:type="spellEnd"/>
        <w:r w:rsidRPr="00B60B17">
          <w:rPr>
            <w:rStyle w:val="Hyperlink"/>
          </w:rPr>
          <w:t>/</w:t>
        </w:r>
        <w:r w:rsidRPr="00B60B17">
          <w:rPr>
            <w:rStyle w:val="Hyperlink"/>
            <w:lang w:val="en-US"/>
          </w:rPr>
          <w:t>events</w:t>
        </w:r>
        <w:r w:rsidRPr="00B60B17">
          <w:rPr>
            <w:rStyle w:val="Hyperlink"/>
          </w:rPr>
          <w:t>/</w:t>
        </w:r>
        <w:r w:rsidRPr="00B60B17">
          <w:rPr>
            <w:rStyle w:val="Hyperlink"/>
            <w:lang w:val="en-US"/>
          </w:rPr>
          <w:t>innovation</w:t>
        </w:r>
        <w:r w:rsidRPr="00B60B17">
          <w:rPr>
            <w:rStyle w:val="Hyperlink"/>
          </w:rPr>
          <w:t>/</w:t>
        </w:r>
        <w:r w:rsidRPr="00B60B17">
          <w:rPr>
            <w:rStyle w:val="Hyperlink"/>
            <w:lang w:val="en-US"/>
          </w:rPr>
          <w:t>documents</w:t>
        </w:r>
        <w:r w:rsidRPr="00B60B17">
          <w:rPr>
            <w:rStyle w:val="Hyperlink"/>
          </w:rPr>
          <w:t>/</w:t>
        </w:r>
        <w:proofErr w:type="spellStart"/>
        <w:r w:rsidRPr="00B60B17">
          <w:rPr>
            <w:rStyle w:val="Hyperlink"/>
            <w:lang w:val="en-US"/>
          </w:rPr>
          <w:t>besstremyannaya</w:t>
        </w:r>
        <w:proofErr w:type="spellEnd"/>
        <w:r w:rsidRPr="00B60B17">
          <w:rPr>
            <w:rStyle w:val="Hyperlink"/>
          </w:rPr>
          <w:t>_</w:t>
        </w:r>
        <w:r w:rsidRPr="00B60B17">
          <w:rPr>
            <w:rStyle w:val="Hyperlink"/>
            <w:lang w:val="en-US"/>
          </w:rPr>
          <w:t>innovation</w:t>
        </w:r>
        <w:r w:rsidRPr="00B60B17">
          <w:rPr>
            <w:rStyle w:val="Hyperlink"/>
          </w:rPr>
          <w:t>-</w:t>
        </w:r>
        <w:r w:rsidRPr="00B60B17">
          <w:rPr>
            <w:rStyle w:val="Hyperlink"/>
            <w:lang w:val="en-US"/>
          </w:rPr>
          <w:t>ma</w:t>
        </w:r>
        <w:r w:rsidRPr="00B60B17">
          <w:rPr>
            <w:rStyle w:val="Hyperlink"/>
          </w:rPr>
          <w:t>.</w:t>
        </w:r>
        <w:r w:rsidRPr="00B60B17">
          <w:rPr>
            <w:rStyle w:val="Hyperlink"/>
            <w:lang w:val="en-US"/>
          </w:rPr>
          <w:t>pdf</w:t>
        </w:r>
      </w:hyperlink>
      <w:r w:rsidRPr="00B60B17">
        <w:t xml:space="preserve"> /Северо-западный университет (Чикаго), 12 ежегодная конференция по экономике инноваций, препринт доклада, 21 июня 2019</w:t>
      </w:r>
    </w:p>
    <w:p w:rsidR="00DB5E94" w:rsidRPr="00B60B17" w:rsidRDefault="00DB5E94" w:rsidP="00B60B17">
      <w:pPr>
        <w:numPr>
          <w:ilvl w:val="0"/>
          <w:numId w:val="15"/>
        </w:numPr>
        <w:jc w:val="both"/>
      </w:pPr>
      <w:r w:rsidRPr="00B60B17">
        <w:rPr>
          <w:lang w:val="en-US"/>
        </w:rPr>
        <w:t>Besstre</w:t>
      </w:r>
      <w:r w:rsidRPr="00B60B17">
        <w:rPr>
          <w:lang w:val="en-US" w:eastAsia="ja-JP"/>
        </w:rPr>
        <w:t xml:space="preserve">myannaya G., Dasher R., Golovan S. (2019) </w:t>
      </w:r>
      <w:r w:rsidRPr="00B60B17">
        <w:rPr>
          <w:lang w:val="en-US"/>
        </w:rPr>
        <w:t xml:space="preserve">Technological change, energy, environment and economic growth in Japan. 2019 Annual congress of the European Economic Association   / </w:t>
      </w:r>
      <w:r w:rsidRPr="00B60B17">
        <w:t>Ежегодный</w:t>
      </w:r>
      <w:r w:rsidRPr="00B60B17">
        <w:rPr>
          <w:lang w:val="en-US"/>
        </w:rPr>
        <w:t xml:space="preserve"> </w:t>
      </w:r>
      <w:r w:rsidRPr="00B60B17">
        <w:t>конгресс</w:t>
      </w:r>
      <w:r w:rsidRPr="00B60B17">
        <w:rPr>
          <w:lang w:val="en-US"/>
        </w:rPr>
        <w:t xml:space="preserve"> </w:t>
      </w:r>
      <w:r w:rsidRPr="00B60B17">
        <w:t>Европейской</w:t>
      </w:r>
      <w:r w:rsidRPr="00B60B17">
        <w:rPr>
          <w:lang w:val="en-US"/>
        </w:rPr>
        <w:t xml:space="preserve"> </w:t>
      </w:r>
      <w:r w:rsidRPr="00B60B17">
        <w:t>экономической</w:t>
      </w:r>
      <w:r w:rsidRPr="00B60B17">
        <w:rPr>
          <w:lang w:val="en-US"/>
        </w:rPr>
        <w:t xml:space="preserve"> </w:t>
      </w:r>
      <w:r w:rsidRPr="00B60B17">
        <w:t>ассоциации</w:t>
      </w:r>
      <w:r w:rsidRPr="00B60B17">
        <w:rPr>
          <w:lang w:val="en-US"/>
        </w:rPr>
        <w:t xml:space="preserve">.  </w:t>
      </w:r>
      <w:r w:rsidRPr="00B60B17">
        <w:t xml:space="preserve">Университет Манчестера, 28 августа 2019, </w:t>
      </w:r>
      <w:hyperlink r:id="rId91" w:history="1">
        <w:r w:rsidRPr="00B60B17">
          <w:rPr>
            <w:rStyle w:val="Hyperlink"/>
            <w:lang w:val="en-US"/>
          </w:rPr>
          <w:t>https</w:t>
        </w:r>
        <w:r w:rsidRPr="00B60B17">
          <w:rPr>
            <w:rStyle w:val="Hyperlink"/>
          </w:rPr>
          <w:t>://</w:t>
        </w:r>
        <w:proofErr w:type="spellStart"/>
        <w:r w:rsidRPr="00B60B17">
          <w:rPr>
            <w:rStyle w:val="Hyperlink"/>
            <w:lang w:val="en-US"/>
          </w:rPr>
          <w:t>editorialexpress</w:t>
        </w:r>
        <w:proofErr w:type="spellEnd"/>
        <w:r w:rsidRPr="00B60B17">
          <w:rPr>
            <w:rStyle w:val="Hyperlink"/>
          </w:rPr>
          <w:t>.</w:t>
        </w:r>
        <w:r w:rsidRPr="00B60B17">
          <w:rPr>
            <w:rStyle w:val="Hyperlink"/>
            <w:lang w:val="en-US"/>
          </w:rPr>
          <w:t>com</w:t>
        </w:r>
        <w:r w:rsidRPr="00B60B17">
          <w:rPr>
            <w:rStyle w:val="Hyperlink"/>
          </w:rPr>
          <w:t>/</w:t>
        </w:r>
        <w:proofErr w:type="spellStart"/>
        <w:r w:rsidRPr="00B60B17">
          <w:rPr>
            <w:rStyle w:val="Hyperlink"/>
            <w:lang w:val="en-US"/>
          </w:rPr>
          <w:t>cgi</w:t>
        </w:r>
        <w:proofErr w:type="spellEnd"/>
        <w:r w:rsidRPr="00B60B17">
          <w:rPr>
            <w:rStyle w:val="Hyperlink"/>
          </w:rPr>
          <w:t>-</w:t>
        </w:r>
        <w:r w:rsidRPr="00B60B17">
          <w:rPr>
            <w:rStyle w:val="Hyperlink"/>
            <w:lang w:val="en-US"/>
          </w:rPr>
          <w:t>bin</w:t>
        </w:r>
        <w:r w:rsidRPr="00B60B17">
          <w:rPr>
            <w:rStyle w:val="Hyperlink"/>
          </w:rPr>
          <w:t>/</w:t>
        </w:r>
        <w:r w:rsidRPr="00B60B17">
          <w:rPr>
            <w:rStyle w:val="Hyperlink"/>
            <w:lang w:val="en-US"/>
          </w:rPr>
          <w:t>conference</w:t>
        </w:r>
        <w:r w:rsidRPr="00B60B17">
          <w:rPr>
            <w:rStyle w:val="Hyperlink"/>
          </w:rPr>
          <w:t>/</w:t>
        </w:r>
        <w:r w:rsidRPr="00B60B17">
          <w:rPr>
            <w:rStyle w:val="Hyperlink"/>
            <w:lang w:val="en-US"/>
          </w:rPr>
          <w:t>download</w:t>
        </w:r>
        <w:r w:rsidRPr="00B60B17">
          <w:rPr>
            <w:rStyle w:val="Hyperlink"/>
          </w:rPr>
          <w:t>.</w:t>
        </w:r>
        <w:proofErr w:type="spellStart"/>
        <w:r w:rsidRPr="00B60B17">
          <w:rPr>
            <w:rStyle w:val="Hyperlink"/>
            <w:lang w:val="en-US"/>
          </w:rPr>
          <w:t>cgi</w:t>
        </w:r>
        <w:proofErr w:type="spellEnd"/>
        <w:r w:rsidRPr="00B60B17">
          <w:rPr>
            <w:rStyle w:val="Hyperlink"/>
          </w:rPr>
          <w:t>?</w:t>
        </w:r>
        <w:proofErr w:type="spellStart"/>
        <w:r w:rsidRPr="00B60B17">
          <w:rPr>
            <w:rStyle w:val="Hyperlink"/>
            <w:lang w:val="en-US"/>
          </w:rPr>
          <w:t>db</w:t>
        </w:r>
        <w:proofErr w:type="spellEnd"/>
        <w:r w:rsidRPr="00B60B17">
          <w:rPr>
            <w:rStyle w:val="Hyperlink"/>
          </w:rPr>
          <w:t>_</w:t>
        </w:r>
        <w:r w:rsidRPr="00B60B17">
          <w:rPr>
            <w:rStyle w:val="Hyperlink"/>
            <w:lang w:val="en-US"/>
          </w:rPr>
          <w:t>name</w:t>
        </w:r>
        <w:r w:rsidRPr="00B60B17">
          <w:rPr>
            <w:rStyle w:val="Hyperlink"/>
          </w:rPr>
          <w:t>=</w:t>
        </w:r>
        <w:r w:rsidRPr="00B60B17">
          <w:rPr>
            <w:rStyle w:val="Hyperlink"/>
            <w:lang w:val="en-US"/>
          </w:rPr>
          <w:t>EEAESEM</w:t>
        </w:r>
        <w:r w:rsidRPr="00B60B17">
          <w:rPr>
            <w:rStyle w:val="Hyperlink"/>
          </w:rPr>
          <w:t>2019&amp;</w:t>
        </w:r>
        <w:r w:rsidRPr="00B60B17">
          <w:rPr>
            <w:rStyle w:val="Hyperlink"/>
            <w:lang w:val="en-US"/>
          </w:rPr>
          <w:t>paper</w:t>
        </w:r>
        <w:r w:rsidRPr="00B60B17">
          <w:rPr>
            <w:rStyle w:val="Hyperlink"/>
          </w:rPr>
          <w:t>_</w:t>
        </w:r>
        <w:r w:rsidRPr="00B60B17">
          <w:rPr>
            <w:rStyle w:val="Hyperlink"/>
            <w:lang w:val="en-US"/>
          </w:rPr>
          <w:t>id</w:t>
        </w:r>
        <w:r w:rsidRPr="00B60B17">
          <w:rPr>
            <w:rStyle w:val="Hyperlink"/>
          </w:rPr>
          <w:t>=353</w:t>
        </w:r>
      </w:hyperlink>
    </w:p>
    <w:p w:rsidR="00DB5E94" w:rsidRPr="00B60B17" w:rsidRDefault="00DB5E94" w:rsidP="00B60B17">
      <w:pPr>
        <w:numPr>
          <w:ilvl w:val="0"/>
          <w:numId w:val="15"/>
        </w:numPr>
        <w:jc w:val="both"/>
        <w:rPr>
          <w:lang w:val="en-US"/>
        </w:rPr>
      </w:pPr>
      <w:r w:rsidRPr="00B60B17">
        <w:rPr>
          <w:lang w:val="en-US"/>
        </w:rPr>
        <w:t>Besstre</w:t>
      </w:r>
      <w:r w:rsidRPr="00B60B17">
        <w:rPr>
          <w:lang w:val="en-US" w:eastAsia="ja-JP"/>
        </w:rPr>
        <w:t xml:space="preserve">myannaya G., Dasher R., Golovan S. (2019) </w:t>
      </w:r>
      <w:r w:rsidRPr="00B60B17">
        <w:rPr>
          <w:lang w:val="en-US"/>
        </w:rPr>
        <w:t xml:space="preserve">Reconsideration of a simple approach to quantile regression for panel data. 2019 European Meeting of the Econometric Society. </w:t>
      </w:r>
      <w:hyperlink r:id="rId92" w:history="1">
        <w:r w:rsidRPr="00B60B17">
          <w:rPr>
            <w:rStyle w:val="Hyperlink"/>
            <w:lang w:val="en-US"/>
          </w:rPr>
          <w:t>https://editorialexpress.com/cgi-bin/conference/download.cgi?db_name=EEAESEM2019&amp;paper_id=257</w:t>
        </w:r>
      </w:hyperlink>
    </w:p>
    <w:p w:rsidR="00DB5E94" w:rsidRPr="00B60B17" w:rsidRDefault="00DB5E94" w:rsidP="00B60B17">
      <w:pPr>
        <w:ind w:left="720"/>
        <w:jc w:val="both"/>
      </w:pPr>
      <w:r w:rsidRPr="00B60B17">
        <w:rPr>
          <w:lang w:val="en-US"/>
        </w:rPr>
        <w:t xml:space="preserve"> </w:t>
      </w:r>
      <w:r w:rsidRPr="00B60B17">
        <w:t>/ Европейская конференция Эконометрического общества, 2019, университет Манчестера, 27 августа.</w:t>
      </w:r>
    </w:p>
    <w:p w:rsidR="00DB5E94" w:rsidRPr="00B60B17" w:rsidRDefault="00DB5E94" w:rsidP="00B60B17">
      <w:pPr>
        <w:numPr>
          <w:ilvl w:val="0"/>
          <w:numId w:val="15"/>
        </w:numPr>
        <w:jc w:val="both"/>
      </w:pPr>
      <w:r w:rsidRPr="00B60B17">
        <w:rPr>
          <w:lang w:val="en-US"/>
        </w:rPr>
        <w:t>Besstre</w:t>
      </w:r>
      <w:r w:rsidRPr="00B60B17">
        <w:rPr>
          <w:lang w:val="en-US" w:eastAsia="ja-JP"/>
        </w:rPr>
        <w:t xml:space="preserve">myannaya G., Dasher R., Golovan S. (2018) </w:t>
      </w:r>
      <w:r w:rsidRPr="00B60B17">
        <w:rPr>
          <w:lang w:val="en-US"/>
        </w:rPr>
        <w:t xml:space="preserve">Mergers and acquisitions, innovations and growth. 2018 Annual Congress of the European Economic </w:t>
      </w:r>
      <w:proofErr w:type="gramStart"/>
      <w:r w:rsidRPr="00B60B17">
        <w:rPr>
          <w:lang w:val="en-US"/>
        </w:rPr>
        <w:t>Association  (</w:t>
      </w:r>
      <w:proofErr w:type="gramEnd"/>
      <w:r w:rsidRPr="00B60B17">
        <w:rPr>
          <w:lang w:val="en-US"/>
        </w:rPr>
        <w:t xml:space="preserve">Cologne). </w:t>
      </w:r>
      <w:r w:rsidRPr="00B60B17">
        <w:rPr>
          <w:lang w:val="en-US" w:eastAsia="ja-JP"/>
        </w:rPr>
        <w:t xml:space="preserve">/ </w:t>
      </w:r>
      <w:r w:rsidRPr="00B60B17">
        <w:rPr>
          <w:lang w:eastAsia="ja-JP"/>
        </w:rPr>
        <w:t>Ежегодный</w:t>
      </w:r>
      <w:r w:rsidRPr="00B60B17">
        <w:rPr>
          <w:lang w:val="en-US" w:eastAsia="ja-JP"/>
        </w:rPr>
        <w:t xml:space="preserve"> </w:t>
      </w:r>
      <w:r w:rsidRPr="00B60B17">
        <w:rPr>
          <w:lang w:eastAsia="ja-JP"/>
        </w:rPr>
        <w:t>конгресс</w:t>
      </w:r>
      <w:r w:rsidRPr="00B60B17">
        <w:rPr>
          <w:lang w:val="en-US" w:eastAsia="ja-JP"/>
        </w:rPr>
        <w:t xml:space="preserve"> </w:t>
      </w:r>
      <w:r w:rsidRPr="00B60B17">
        <w:rPr>
          <w:lang w:eastAsia="ja-JP"/>
        </w:rPr>
        <w:t>Европейской</w:t>
      </w:r>
      <w:r w:rsidRPr="00B60B17">
        <w:rPr>
          <w:lang w:val="en-US" w:eastAsia="ja-JP"/>
        </w:rPr>
        <w:t xml:space="preserve"> </w:t>
      </w:r>
      <w:r w:rsidRPr="00B60B17">
        <w:rPr>
          <w:lang w:eastAsia="ja-JP"/>
        </w:rPr>
        <w:t>экономической</w:t>
      </w:r>
      <w:r w:rsidRPr="00B60B17">
        <w:rPr>
          <w:lang w:val="en-US" w:eastAsia="ja-JP"/>
        </w:rPr>
        <w:t xml:space="preserve"> </w:t>
      </w:r>
      <w:r w:rsidRPr="00B60B17">
        <w:rPr>
          <w:lang w:eastAsia="ja-JP"/>
        </w:rPr>
        <w:t>ассоциации</w:t>
      </w:r>
      <w:r w:rsidRPr="00B60B17">
        <w:rPr>
          <w:lang w:val="en-US"/>
        </w:rPr>
        <w:t xml:space="preserve"> 28 </w:t>
      </w:r>
      <w:r w:rsidRPr="00B60B17">
        <w:t>августа</w:t>
      </w:r>
      <w:r w:rsidRPr="00B60B17">
        <w:rPr>
          <w:lang w:val="en-US"/>
        </w:rPr>
        <w:t xml:space="preserve">. </w:t>
      </w:r>
      <w:r w:rsidRPr="00B60B17">
        <w:t xml:space="preserve">Университет Кельна, Германия </w:t>
      </w:r>
      <w:hyperlink r:id="rId93" w:history="1">
        <w:r w:rsidRPr="00B60B17">
          <w:rPr>
            <w:rStyle w:val="Hyperlink"/>
          </w:rPr>
          <w:t>https://editorialexpress.com/cgi-bin/conference/download.cgi?db_name=EEAESEM2018&amp;paper_id=849</w:t>
        </w:r>
      </w:hyperlink>
    </w:p>
    <w:p w:rsidR="00DB5E94" w:rsidRPr="00B60B17" w:rsidRDefault="00DB5E94" w:rsidP="00B60B17">
      <w:pPr>
        <w:numPr>
          <w:ilvl w:val="0"/>
          <w:numId w:val="15"/>
        </w:numPr>
        <w:jc w:val="both"/>
        <w:rPr>
          <w:lang w:val="en-US"/>
        </w:rPr>
      </w:pPr>
      <w:r w:rsidRPr="00B60B17">
        <w:rPr>
          <w:lang w:val="en-US"/>
        </w:rPr>
        <w:t xml:space="preserve">Besstremyannaya G., Golovan S. (2018) Heterogeneous effect of the hospital financing reform on productivity: fixed effect panel data quantile regressions with </w:t>
      </w:r>
      <w:proofErr w:type="spellStart"/>
      <w:r w:rsidRPr="00B60B17">
        <w:rPr>
          <w:lang w:val="en-US"/>
        </w:rPr>
        <w:t>endogeneity</w:t>
      </w:r>
      <w:proofErr w:type="spellEnd"/>
      <w:r w:rsidRPr="00B60B17">
        <w:rPr>
          <w:lang w:val="en-US"/>
        </w:rPr>
        <w:t xml:space="preserve"> </w:t>
      </w:r>
      <w:proofErr w:type="gramStart"/>
      <w:r w:rsidRPr="00B60B17">
        <w:rPr>
          <w:lang w:val="en-US"/>
        </w:rPr>
        <w:t>2018  European</w:t>
      </w:r>
      <w:proofErr w:type="gramEnd"/>
      <w:r w:rsidRPr="00B60B17">
        <w:rPr>
          <w:lang w:val="en-US"/>
        </w:rPr>
        <w:t xml:space="preserve"> Meeting of the Econometric Society (University of Cologne). </w:t>
      </w:r>
      <w:r w:rsidRPr="00B60B17">
        <w:rPr>
          <w:lang w:val="en-US" w:eastAsia="ja-JP"/>
        </w:rPr>
        <w:t>/</w:t>
      </w:r>
      <w:r w:rsidRPr="00B60B17">
        <w:rPr>
          <w:lang w:val="en-US"/>
        </w:rPr>
        <w:t xml:space="preserve"> 2018 </w:t>
      </w:r>
      <w:r w:rsidRPr="00B60B17">
        <w:t>Европейская</w:t>
      </w:r>
      <w:r w:rsidRPr="00B60B17">
        <w:rPr>
          <w:lang w:val="en-US"/>
        </w:rPr>
        <w:t xml:space="preserve"> </w:t>
      </w:r>
      <w:r w:rsidRPr="00B60B17">
        <w:t>конференция</w:t>
      </w:r>
      <w:r w:rsidRPr="00B60B17">
        <w:rPr>
          <w:lang w:val="en-US"/>
        </w:rPr>
        <w:t xml:space="preserve"> </w:t>
      </w:r>
      <w:r w:rsidRPr="00B60B17">
        <w:t>Эконометрического</w:t>
      </w:r>
      <w:r w:rsidRPr="00B60B17">
        <w:rPr>
          <w:lang w:val="en-US"/>
        </w:rPr>
        <w:t xml:space="preserve"> </w:t>
      </w:r>
      <w:r w:rsidRPr="00B60B17">
        <w:t>сообщества</w:t>
      </w:r>
      <w:r w:rsidRPr="00B60B17">
        <w:rPr>
          <w:lang w:val="en-US"/>
        </w:rPr>
        <w:t xml:space="preserve">, 27 </w:t>
      </w:r>
      <w:r w:rsidRPr="00B60B17">
        <w:t>августа</w:t>
      </w:r>
      <w:r w:rsidRPr="00B60B17">
        <w:rPr>
          <w:lang w:val="en-US"/>
        </w:rPr>
        <w:t xml:space="preserve"> </w:t>
      </w:r>
      <w:hyperlink r:id="rId94" w:history="1">
        <w:r w:rsidRPr="00B60B17">
          <w:rPr>
            <w:rStyle w:val="Hyperlink"/>
            <w:lang w:val="en-US"/>
          </w:rPr>
          <w:t>https://editorialexpress.com/cgi-bin/conference/download.cgi?db_name=EEAESEM2018&amp;paper_id=144</w:t>
        </w:r>
      </w:hyperlink>
    </w:p>
    <w:p w:rsidR="00DB5E94" w:rsidRPr="00B60B17" w:rsidRDefault="00DB5E94" w:rsidP="00B60B17">
      <w:pPr>
        <w:numPr>
          <w:ilvl w:val="0"/>
          <w:numId w:val="15"/>
        </w:numPr>
        <w:jc w:val="both"/>
        <w:rPr>
          <w:lang w:val="en-US"/>
        </w:rPr>
      </w:pPr>
      <w:r w:rsidRPr="00B60B17">
        <w:rPr>
          <w:lang w:val="en-US"/>
        </w:rPr>
        <w:t>Besstre</w:t>
      </w:r>
      <w:r w:rsidRPr="00B60B17">
        <w:rPr>
          <w:lang w:val="en-US" w:eastAsia="ja-JP"/>
        </w:rPr>
        <w:t xml:space="preserve">myannaya G., Dasher R., Golovan S. (2017) </w:t>
      </w:r>
      <w:r w:rsidRPr="00B60B17">
        <w:rPr>
          <w:lang w:val="en-US"/>
        </w:rPr>
        <w:t xml:space="preserve">Mergers and acquisitions, heterogeneous innovations, patenting and economic growth European Economic Association (Lisbon) 2017 Annual Congress. </w:t>
      </w:r>
      <w:r w:rsidRPr="00B60B17">
        <w:rPr>
          <w:lang w:val="en-US" w:eastAsia="ja-JP"/>
        </w:rPr>
        <w:t xml:space="preserve">/ </w:t>
      </w:r>
      <w:r w:rsidRPr="00B60B17">
        <w:rPr>
          <w:lang w:eastAsia="ja-JP"/>
        </w:rPr>
        <w:t>Ежегодный</w:t>
      </w:r>
      <w:r w:rsidRPr="00B60B17">
        <w:rPr>
          <w:lang w:val="en-US" w:eastAsia="ja-JP"/>
        </w:rPr>
        <w:t xml:space="preserve"> </w:t>
      </w:r>
      <w:r w:rsidRPr="00B60B17">
        <w:rPr>
          <w:lang w:eastAsia="ja-JP"/>
        </w:rPr>
        <w:t>конгресс</w:t>
      </w:r>
      <w:r w:rsidRPr="00B60B17">
        <w:rPr>
          <w:lang w:val="en-US" w:eastAsia="ja-JP"/>
        </w:rPr>
        <w:t xml:space="preserve"> </w:t>
      </w:r>
      <w:r w:rsidRPr="00B60B17">
        <w:rPr>
          <w:lang w:eastAsia="ja-JP"/>
        </w:rPr>
        <w:t>Европейской</w:t>
      </w:r>
      <w:r w:rsidRPr="00B60B17">
        <w:rPr>
          <w:lang w:val="en-US" w:eastAsia="ja-JP"/>
        </w:rPr>
        <w:t xml:space="preserve"> </w:t>
      </w:r>
      <w:r w:rsidRPr="00B60B17">
        <w:rPr>
          <w:lang w:eastAsia="ja-JP"/>
        </w:rPr>
        <w:t>экономической</w:t>
      </w:r>
      <w:r w:rsidRPr="00B60B17">
        <w:rPr>
          <w:lang w:val="en-US" w:eastAsia="ja-JP"/>
        </w:rPr>
        <w:t xml:space="preserve"> </w:t>
      </w:r>
      <w:r w:rsidRPr="00B60B17">
        <w:rPr>
          <w:lang w:eastAsia="ja-JP"/>
        </w:rPr>
        <w:t>ассоциации</w:t>
      </w:r>
      <w:r w:rsidRPr="00B60B17">
        <w:rPr>
          <w:lang w:val="en-US" w:eastAsia="ja-JP"/>
        </w:rPr>
        <w:t xml:space="preserve"> </w:t>
      </w:r>
      <w:r w:rsidRPr="00B60B17">
        <w:rPr>
          <w:lang w:val="en-US"/>
        </w:rPr>
        <w:t xml:space="preserve">22 </w:t>
      </w:r>
      <w:r w:rsidRPr="00B60B17">
        <w:t>августа</w:t>
      </w:r>
      <w:r w:rsidRPr="00B60B17">
        <w:rPr>
          <w:lang w:val="en-US"/>
        </w:rPr>
        <w:t xml:space="preserve">, </w:t>
      </w:r>
      <w:r w:rsidRPr="00B60B17">
        <w:t>Лиссабон</w:t>
      </w:r>
      <w:r w:rsidRPr="00B60B17">
        <w:rPr>
          <w:lang w:val="en-US"/>
        </w:rPr>
        <w:t xml:space="preserve"> </w:t>
      </w:r>
      <w:hyperlink r:id="rId95" w:history="1">
        <w:r w:rsidRPr="00B60B17">
          <w:rPr>
            <w:rStyle w:val="Hyperlink"/>
            <w:lang w:val="en-US"/>
          </w:rPr>
          <w:t>https://editorialexpress.com/cgi-bin/conference/download.cgi?db_name=EEAESEM2017&amp;paper_id=303</w:t>
        </w:r>
      </w:hyperlink>
    </w:p>
    <w:p w:rsidR="00DB5E94" w:rsidRPr="00B60B17" w:rsidRDefault="00DB5E94" w:rsidP="00B60B17">
      <w:pPr>
        <w:numPr>
          <w:ilvl w:val="0"/>
          <w:numId w:val="15"/>
        </w:numPr>
        <w:jc w:val="both"/>
      </w:pPr>
      <w:r w:rsidRPr="00B60B17">
        <w:rPr>
          <w:lang w:val="en-US" w:eastAsia="ja-JP"/>
        </w:rPr>
        <w:t xml:space="preserve">Besstremyannaya G., Golovan S. (2016) </w:t>
      </w:r>
      <w:r w:rsidRPr="00B60B17">
        <w:rPr>
          <w:lang w:val="en-US"/>
        </w:rPr>
        <w:t xml:space="preserve">Effect of residency matching and prospective payment on labor productivity at hospitals. </w:t>
      </w:r>
      <w:r w:rsidRPr="00B60B17">
        <w:t xml:space="preserve">2016 </w:t>
      </w:r>
      <w:r w:rsidRPr="00B60B17">
        <w:rPr>
          <w:lang w:val="en-US"/>
        </w:rPr>
        <w:t>European</w:t>
      </w:r>
      <w:r w:rsidRPr="00B60B17">
        <w:t xml:space="preserve"> </w:t>
      </w:r>
      <w:r w:rsidRPr="00B60B17">
        <w:rPr>
          <w:lang w:val="en-US"/>
        </w:rPr>
        <w:t>Meeting</w:t>
      </w:r>
      <w:r w:rsidRPr="00B60B17">
        <w:t xml:space="preserve"> </w:t>
      </w:r>
      <w:r w:rsidRPr="00B60B17">
        <w:rPr>
          <w:lang w:val="en-US"/>
        </w:rPr>
        <w:t>of</w:t>
      </w:r>
      <w:r w:rsidRPr="00B60B17">
        <w:t xml:space="preserve"> </w:t>
      </w:r>
      <w:r w:rsidRPr="00B60B17">
        <w:rPr>
          <w:lang w:val="en-US"/>
        </w:rPr>
        <w:t>the</w:t>
      </w:r>
      <w:r w:rsidRPr="00B60B17">
        <w:t xml:space="preserve"> </w:t>
      </w:r>
      <w:r w:rsidRPr="00B60B17">
        <w:rPr>
          <w:lang w:val="en-US"/>
        </w:rPr>
        <w:t>Econometric</w:t>
      </w:r>
      <w:r w:rsidRPr="00B60B17">
        <w:t xml:space="preserve"> </w:t>
      </w:r>
      <w:r w:rsidRPr="00B60B17">
        <w:rPr>
          <w:lang w:val="en-US"/>
        </w:rPr>
        <w:t>Society</w:t>
      </w:r>
      <w:r w:rsidRPr="00B60B17">
        <w:t xml:space="preserve">, </w:t>
      </w:r>
      <w:r w:rsidRPr="00B60B17">
        <w:rPr>
          <w:lang w:val="en-US"/>
        </w:rPr>
        <w:t>Geneva</w:t>
      </w:r>
      <w:r w:rsidRPr="00B60B17">
        <w:t xml:space="preserve"> 25 августа  / 2016 Европейская конференция Эконометрического сообщества, Женева, 25 августа </w:t>
      </w:r>
      <w:hyperlink r:id="rId96" w:history="1">
        <w:r w:rsidRPr="00B60B17">
          <w:rPr>
            <w:rStyle w:val="Hyperlink"/>
            <w:lang w:val="en-US"/>
          </w:rPr>
          <w:t>https</w:t>
        </w:r>
        <w:r w:rsidRPr="00B60B17">
          <w:rPr>
            <w:rStyle w:val="Hyperlink"/>
          </w:rPr>
          <w:t>://</w:t>
        </w:r>
        <w:proofErr w:type="spellStart"/>
        <w:r w:rsidRPr="00B60B17">
          <w:rPr>
            <w:rStyle w:val="Hyperlink"/>
            <w:lang w:val="en-US"/>
          </w:rPr>
          <w:t>editorialexpress</w:t>
        </w:r>
        <w:proofErr w:type="spellEnd"/>
        <w:r w:rsidRPr="00B60B17">
          <w:rPr>
            <w:rStyle w:val="Hyperlink"/>
          </w:rPr>
          <w:t>.</w:t>
        </w:r>
        <w:r w:rsidRPr="00B60B17">
          <w:rPr>
            <w:rStyle w:val="Hyperlink"/>
            <w:lang w:val="en-US"/>
          </w:rPr>
          <w:t>com</w:t>
        </w:r>
        <w:r w:rsidRPr="00B60B17">
          <w:rPr>
            <w:rStyle w:val="Hyperlink"/>
          </w:rPr>
          <w:t>/</w:t>
        </w:r>
        <w:proofErr w:type="spellStart"/>
        <w:r w:rsidRPr="00B60B17">
          <w:rPr>
            <w:rStyle w:val="Hyperlink"/>
            <w:lang w:val="en-US"/>
          </w:rPr>
          <w:t>cgi</w:t>
        </w:r>
        <w:proofErr w:type="spellEnd"/>
        <w:r w:rsidRPr="00B60B17">
          <w:rPr>
            <w:rStyle w:val="Hyperlink"/>
          </w:rPr>
          <w:t>-</w:t>
        </w:r>
        <w:r w:rsidRPr="00B60B17">
          <w:rPr>
            <w:rStyle w:val="Hyperlink"/>
            <w:lang w:val="en-US"/>
          </w:rPr>
          <w:t>bin</w:t>
        </w:r>
        <w:r w:rsidRPr="00B60B17">
          <w:rPr>
            <w:rStyle w:val="Hyperlink"/>
          </w:rPr>
          <w:t>/</w:t>
        </w:r>
        <w:r w:rsidRPr="00B60B17">
          <w:rPr>
            <w:rStyle w:val="Hyperlink"/>
            <w:lang w:val="en-US"/>
          </w:rPr>
          <w:t>conference</w:t>
        </w:r>
        <w:r w:rsidRPr="00B60B17">
          <w:rPr>
            <w:rStyle w:val="Hyperlink"/>
          </w:rPr>
          <w:t>/</w:t>
        </w:r>
        <w:r w:rsidRPr="00B60B17">
          <w:rPr>
            <w:rStyle w:val="Hyperlink"/>
            <w:lang w:val="en-US"/>
          </w:rPr>
          <w:t>download</w:t>
        </w:r>
        <w:r w:rsidRPr="00B60B17">
          <w:rPr>
            <w:rStyle w:val="Hyperlink"/>
          </w:rPr>
          <w:t>.</w:t>
        </w:r>
        <w:proofErr w:type="spellStart"/>
        <w:r w:rsidRPr="00B60B17">
          <w:rPr>
            <w:rStyle w:val="Hyperlink"/>
            <w:lang w:val="en-US"/>
          </w:rPr>
          <w:t>cgi</w:t>
        </w:r>
        <w:proofErr w:type="spellEnd"/>
        <w:r w:rsidRPr="00B60B17">
          <w:rPr>
            <w:rStyle w:val="Hyperlink"/>
          </w:rPr>
          <w:t>?</w:t>
        </w:r>
        <w:proofErr w:type="spellStart"/>
        <w:r w:rsidRPr="00B60B17">
          <w:rPr>
            <w:rStyle w:val="Hyperlink"/>
            <w:lang w:val="en-US"/>
          </w:rPr>
          <w:t>db</w:t>
        </w:r>
        <w:proofErr w:type="spellEnd"/>
        <w:r w:rsidRPr="00B60B17">
          <w:rPr>
            <w:rStyle w:val="Hyperlink"/>
          </w:rPr>
          <w:t>_</w:t>
        </w:r>
        <w:r w:rsidRPr="00B60B17">
          <w:rPr>
            <w:rStyle w:val="Hyperlink"/>
            <w:lang w:val="en-US"/>
          </w:rPr>
          <w:t>name</w:t>
        </w:r>
        <w:r w:rsidRPr="00B60B17">
          <w:rPr>
            <w:rStyle w:val="Hyperlink"/>
          </w:rPr>
          <w:t>=</w:t>
        </w:r>
        <w:r w:rsidRPr="00B60B17">
          <w:rPr>
            <w:rStyle w:val="Hyperlink"/>
            <w:lang w:val="en-US"/>
          </w:rPr>
          <w:t>EEAESEM</w:t>
        </w:r>
        <w:r w:rsidRPr="00B60B17">
          <w:rPr>
            <w:rStyle w:val="Hyperlink"/>
          </w:rPr>
          <w:t>2016&amp;</w:t>
        </w:r>
        <w:r w:rsidRPr="00B60B17">
          <w:rPr>
            <w:rStyle w:val="Hyperlink"/>
            <w:lang w:val="en-US"/>
          </w:rPr>
          <w:t>paper</w:t>
        </w:r>
        <w:r w:rsidRPr="00B60B17">
          <w:rPr>
            <w:rStyle w:val="Hyperlink"/>
          </w:rPr>
          <w:t>_</w:t>
        </w:r>
        <w:r w:rsidRPr="00B60B17">
          <w:rPr>
            <w:rStyle w:val="Hyperlink"/>
            <w:lang w:val="en-US"/>
          </w:rPr>
          <w:t>id</w:t>
        </w:r>
        <w:r w:rsidRPr="00B60B17">
          <w:rPr>
            <w:rStyle w:val="Hyperlink"/>
          </w:rPr>
          <w:t>=1157</w:t>
        </w:r>
      </w:hyperlink>
    </w:p>
    <w:p w:rsidR="00DB5E94" w:rsidRPr="00B60B17" w:rsidRDefault="00DB5E94" w:rsidP="00B60B17">
      <w:pPr>
        <w:numPr>
          <w:ilvl w:val="0"/>
          <w:numId w:val="15"/>
        </w:numPr>
        <w:jc w:val="both"/>
        <w:rPr>
          <w:lang w:val="en-US"/>
        </w:rPr>
      </w:pPr>
      <w:r w:rsidRPr="00B60B17">
        <w:rPr>
          <w:lang w:val="en-US"/>
        </w:rPr>
        <w:t xml:space="preserve">Besstremyannaya G. (2015) </w:t>
      </w:r>
      <w:hyperlink r:id="rId97" w:history="1">
        <w:r w:rsidRPr="00B60B17">
          <w:rPr>
            <w:rStyle w:val="Hyperlink"/>
            <w:shd w:val="clear" w:color="auto" w:fill="FFFFFF"/>
            <w:lang w:val="en-US"/>
          </w:rPr>
          <w:t>The adverse effects of value-based purchasing in health care: dynamic quantile regression with endogeneity</w:t>
        </w:r>
      </w:hyperlink>
      <w:r w:rsidRPr="00B60B17">
        <w:rPr>
          <w:lang w:val="en-US"/>
        </w:rPr>
        <w:t xml:space="preserve"> 2015 Annual Congress of the European Economic Association, University of Manheim, August 26 / </w:t>
      </w:r>
      <w:r w:rsidRPr="00B60B17">
        <w:rPr>
          <w:lang w:eastAsia="ja-JP"/>
        </w:rPr>
        <w:t>Ежегодный</w:t>
      </w:r>
      <w:r w:rsidRPr="00B60B17">
        <w:rPr>
          <w:lang w:val="en-US" w:eastAsia="ja-JP"/>
        </w:rPr>
        <w:t xml:space="preserve"> </w:t>
      </w:r>
      <w:r w:rsidRPr="00B60B17">
        <w:rPr>
          <w:lang w:eastAsia="ja-JP"/>
        </w:rPr>
        <w:t>конгресс</w:t>
      </w:r>
      <w:r w:rsidRPr="00B60B17">
        <w:rPr>
          <w:lang w:val="en-US" w:eastAsia="ja-JP"/>
        </w:rPr>
        <w:t xml:space="preserve"> </w:t>
      </w:r>
      <w:r w:rsidRPr="00B60B17">
        <w:rPr>
          <w:lang w:eastAsia="ja-JP"/>
        </w:rPr>
        <w:t>Европейской</w:t>
      </w:r>
      <w:r w:rsidRPr="00B60B17">
        <w:rPr>
          <w:lang w:val="en-US" w:eastAsia="ja-JP"/>
        </w:rPr>
        <w:t xml:space="preserve"> </w:t>
      </w:r>
      <w:r w:rsidRPr="00B60B17">
        <w:rPr>
          <w:lang w:eastAsia="ja-JP"/>
        </w:rPr>
        <w:t>экономической</w:t>
      </w:r>
      <w:r w:rsidRPr="00B60B17">
        <w:rPr>
          <w:lang w:val="en-US" w:eastAsia="ja-JP"/>
        </w:rPr>
        <w:t xml:space="preserve"> </w:t>
      </w:r>
      <w:r w:rsidRPr="00B60B17">
        <w:rPr>
          <w:lang w:eastAsia="ja-JP"/>
        </w:rPr>
        <w:t>ассоциации</w:t>
      </w:r>
      <w:r w:rsidRPr="00B60B17">
        <w:rPr>
          <w:lang w:val="en-US" w:eastAsia="ja-JP"/>
        </w:rPr>
        <w:t xml:space="preserve">, </w:t>
      </w:r>
      <w:r w:rsidRPr="00B60B17">
        <w:rPr>
          <w:lang w:eastAsia="ja-JP"/>
        </w:rPr>
        <w:t>университет</w:t>
      </w:r>
      <w:r w:rsidRPr="00B60B17">
        <w:rPr>
          <w:lang w:val="en-US" w:eastAsia="ja-JP"/>
        </w:rPr>
        <w:t xml:space="preserve"> </w:t>
      </w:r>
      <w:r w:rsidRPr="00B60B17">
        <w:rPr>
          <w:lang w:eastAsia="ja-JP"/>
        </w:rPr>
        <w:t>Мангейма</w:t>
      </w:r>
      <w:r w:rsidRPr="00B60B17">
        <w:rPr>
          <w:lang w:val="en-US" w:eastAsia="ja-JP"/>
        </w:rPr>
        <w:t xml:space="preserve"> </w:t>
      </w:r>
      <w:hyperlink r:id="rId98" w:history="1">
        <w:r w:rsidRPr="00B60B17">
          <w:rPr>
            <w:rStyle w:val="Hyperlink"/>
            <w:lang w:val="en-US"/>
          </w:rPr>
          <w:t>https://editorialexpress.com/cgi-bin/conference/download.cgi?db_name=EEAMannheim2015&amp;paper_id=317</w:t>
        </w:r>
      </w:hyperlink>
    </w:p>
    <w:p w:rsidR="00DB5E94" w:rsidRPr="00B60B17" w:rsidRDefault="00DB5E94" w:rsidP="00B60B17">
      <w:pPr>
        <w:pStyle w:val="Default"/>
        <w:jc w:val="both"/>
        <w:rPr>
          <w:color w:val="auto"/>
        </w:rPr>
      </w:pPr>
    </w:p>
    <w:p w:rsidR="00DB5E94" w:rsidRPr="00B60B17" w:rsidRDefault="00DB5E94" w:rsidP="00B60B17">
      <w:pPr>
        <w:pStyle w:val="Default"/>
        <w:jc w:val="both"/>
        <w:rPr>
          <w:lang w:val="ru-RU"/>
        </w:rPr>
      </w:pPr>
      <w:r w:rsidRPr="00B60B17">
        <w:rPr>
          <w:b/>
          <w:bCs/>
          <w:lang w:val="ru-RU"/>
        </w:rPr>
        <w:t xml:space="preserve">Публикации в сборниках </w:t>
      </w:r>
    </w:p>
    <w:p w:rsidR="00DB5E94" w:rsidRPr="00B60B17" w:rsidRDefault="00DB5E94" w:rsidP="00B60B17">
      <w:pPr>
        <w:pStyle w:val="Default"/>
        <w:numPr>
          <w:ilvl w:val="0"/>
          <w:numId w:val="15"/>
        </w:numPr>
        <w:spacing w:after="62"/>
        <w:jc w:val="both"/>
      </w:pPr>
      <w:proofErr w:type="spellStart"/>
      <w:r w:rsidRPr="00B60B17">
        <w:rPr>
          <w:color w:val="auto"/>
          <w:lang w:val="ru-RU"/>
        </w:rPr>
        <w:t>Бесстремянная</w:t>
      </w:r>
      <w:proofErr w:type="spellEnd"/>
      <w:r w:rsidRPr="00B60B17">
        <w:rPr>
          <w:color w:val="auto"/>
          <w:lang w:val="ru-RU"/>
        </w:rPr>
        <w:t xml:space="preserve"> Г.Е., </w:t>
      </w:r>
      <w:proofErr w:type="spellStart"/>
      <w:r w:rsidRPr="00B60B17">
        <w:rPr>
          <w:color w:val="auto"/>
          <w:lang w:val="ru-RU"/>
        </w:rPr>
        <w:t>Р.Дашер</w:t>
      </w:r>
      <w:proofErr w:type="spellEnd"/>
      <w:r w:rsidRPr="00B60B17">
        <w:rPr>
          <w:color w:val="auto"/>
          <w:lang w:val="ru-RU"/>
        </w:rPr>
        <w:t xml:space="preserve">, </w:t>
      </w:r>
      <w:proofErr w:type="spellStart"/>
      <w:r w:rsidRPr="00B60B17">
        <w:rPr>
          <w:color w:val="auto"/>
          <w:lang w:val="ru-RU"/>
        </w:rPr>
        <w:t>С.Головань</w:t>
      </w:r>
      <w:proofErr w:type="spellEnd"/>
      <w:r w:rsidRPr="00B60B17">
        <w:rPr>
          <w:color w:val="auto"/>
          <w:lang w:val="ru-RU"/>
        </w:rPr>
        <w:t xml:space="preserve">. Рост инновационных предприятий благодаря сделкам слияний и поглощений. </w:t>
      </w:r>
      <w:r w:rsidRPr="00B60B17">
        <w:rPr>
          <w:color w:val="auto"/>
        </w:rPr>
        <w:t>IV</w:t>
      </w:r>
      <w:r w:rsidRPr="00B60B17">
        <w:rPr>
          <w:color w:val="auto"/>
          <w:lang w:val="ru-RU"/>
        </w:rPr>
        <w:t xml:space="preserve"> Российский экономический конгресс «РЭК-2020». Том </w:t>
      </w:r>
      <w:r w:rsidRPr="00B60B17">
        <w:rPr>
          <w:color w:val="auto"/>
        </w:rPr>
        <w:t>IV</w:t>
      </w:r>
      <w:r w:rsidRPr="00B60B17">
        <w:rPr>
          <w:color w:val="auto"/>
          <w:lang w:val="ru-RU"/>
        </w:rPr>
        <w:t xml:space="preserve">. Тематическая конференция «Макроэкономика и экономический рост» (сборник материалов) / Составители </w:t>
      </w:r>
      <w:proofErr w:type="spellStart"/>
      <w:r w:rsidRPr="00B60B17">
        <w:rPr>
          <w:color w:val="auto"/>
          <w:lang w:val="ru-RU"/>
        </w:rPr>
        <w:t>Е.Т.Гурвич</w:t>
      </w:r>
      <w:proofErr w:type="spellEnd"/>
      <w:r w:rsidRPr="00B60B17">
        <w:rPr>
          <w:color w:val="auto"/>
          <w:lang w:val="ru-RU"/>
        </w:rPr>
        <w:t xml:space="preserve">, </w:t>
      </w:r>
      <w:proofErr w:type="spellStart"/>
      <w:r w:rsidRPr="00B60B17">
        <w:rPr>
          <w:color w:val="auto"/>
          <w:lang w:val="ru-RU"/>
        </w:rPr>
        <w:t>С.Э.Пекарский</w:t>
      </w:r>
      <w:proofErr w:type="spellEnd"/>
      <w:r w:rsidRPr="00B60B17">
        <w:rPr>
          <w:color w:val="auto"/>
          <w:lang w:val="ru-RU"/>
        </w:rPr>
        <w:t>. – М., 2020. Новая экономическая ассоциация, 2020. С.25-27.</w:t>
      </w:r>
    </w:p>
    <w:p w:rsidR="00DB5E94" w:rsidRPr="00AB139A" w:rsidRDefault="00DB5E94" w:rsidP="00B60B17">
      <w:pPr>
        <w:rPr>
          <w:lang w:val="en-US"/>
        </w:rPr>
      </w:pPr>
    </w:p>
    <w:p w:rsidR="009526C4" w:rsidRPr="00AB139A" w:rsidRDefault="009526C4" w:rsidP="00B60B17">
      <w:pPr>
        <w:spacing w:line="360" w:lineRule="auto"/>
        <w:jc w:val="both"/>
        <w:rPr>
          <w:lang w:eastAsia="ja-JP"/>
        </w:rPr>
      </w:pPr>
    </w:p>
    <w:sectPr w:rsidR="009526C4" w:rsidRPr="00AB139A" w:rsidSect="00BF5A0D">
      <w:headerReference w:type="even" r:id="rId99"/>
      <w:headerReference w:type="default" r:id="rId100"/>
      <w:footerReference w:type="even" r:id="rId101"/>
      <w:footerReference w:type="default" r:id="rId102"/>
      <w:headerReference w:type="first" r:id="rId103"/>
      <w:footerReference w:type="first" r:id="rId104"/>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46" w:rsidRDefault="00533B46" w:rsidP="000A5A5D">
      <w:r>
        <w:separator/>
      </w:r>
    </w:p>
  </w:endnote>
  <w:endnote w:type="continuationSeparator" w:id="0">
    <w:p w:rsidR="00533B46" w:rsidRDefault="00533B46" w:rsidP="000A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stem">
    <w:panose1 w:val="00000000000000000000"/>
    <w:charset w:val="80"/>
    <w:family w:val="auto"/>
    <w:notTrueType/>
    <w:pitch w:val="default"/>
    <w:sig w:usb0="00000001" w:usb1="08070000" w:usb2="00000010" w:usb3="00000000" w:csb0="00020000" w:csb1="00000000"/>
  </w:font>
  <w:font w:name="CMR10">
    <w:altName w:val="MS Mincho"/>
    <w:panose1 w:val="00000000000000000000"/>
    <w:charset w:val="80"/>
    <w:family w:val="auto"/>
    <w:notTrueType/>
    <w:pitch w:val="default"/>
    <w:sig w:usb0="00000000" w:usb1="08070000" w:usb2="00000010" w:usb3="00000000" w:csb0="00020000" w:csb1="00000000"/>
  </w:font>
  <w:font w:name="CMTI10">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1A" w:rsidRDefault="008446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1A" w:rsidRDefault="0084461A" w:rsidP="00AF51B7">
    <w:pPr>
      <w:pStyle w:val="Footer"/>
      <w:ind w:right="240"/>
      <w:jc w:val="right"/>
    </w:pPr>
  </w:p>
  <w:p w:rsidR="0084461A" w:rsidRDefault="008446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1A" w:rsidRDefault="008446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46" w:rsidRDefault="00533B46" w:rsidP="000A5A5D">
      <w:r>
        <w:separator/>
      </w:r>
    </w:p>
  </w:footnote>
  <w:footnote w:type="continuationSeparator" w:id="0">
    <w:p w:rsidR="00533B46" w:rsidRDefault="00533B46" w:rsidP="000A5A5D">
      <w:r>
        <w:continuationSeparator/>
      </w:r>
    </w:p>
  </w:footnote>
  <w:footnote w:id="1">
    <w:p w:rsidR="0084461A" w:rsidRPr="00AF51B7" w:rsidRDefault="0084461A" w:rsidP="00B9598C">
      <w:pPr>
        <w:autoSpaceDE w:val="0"/>
        <w:autoSpaceDN w:val="0"/>
        <w:adjustRightInd w:val="0"/>
        <w:jc w:val="both"/>
        <w:rPr>
          <w:sz w:val="20"/>
          <w:szCs w:val="20"/>
          <w:lang w:val="en-US"/>
        </w:rPr>
      </w:pPr>
      <w:r>
        <w:rPr>
          <w:rStyle w:val="FootnoteReference"/>
        </w:rPr>
        <w:footnoteRef/>
      </w:r>
      <w:r w:rsidRPr="00B9598C">
        <w:rPr>
          <w:lang w:val="en-US"/>
        </w:rPr>
        <w:t xml:space="preserve"> </w:t>
      </w:r>
      <w:r w:rsidRPr="00B9598C">
        <w:rPr>
          <w:rFonts w:eastAsia="CMR10"/>
          <w:sz w:val="20"/>
          <w:szCs w:val="20"/>
          <w:lang w:val="en-US" w:eastAsia="ja-JP"/>
        </w:rPr>
        <w:t xml:space="preserve">Galton, F. and H. Dickson (1886). “Family likeness in stature.” </w:t>
      </w:r>
      <w:r w:rsidRPr="00B9598C">
        <w:rPr>
          <w:rFonts w:eastAsia="CMTI10"/>
          <w:sz w:val="20"/>
          <w:szCs w:val="20"/>
          <w:lang w:val="en-US" w:eastAsia="ja-JP"/>
        </w:rPr>
        <w:t xml:space="preserve">Proceedings of the Royal Society of </w:t>
      </w:r>
      <w:r w:rsidRPr="00AF51B7">
        <w:rPr>
          <w:rFonts w:eastAsia="CMTI10"/>
          <w:sz w:val="20"/>
          <w:szCs w:val="20"/>
          <w:lang w:val="en-US" w:eastAsia="ja-JP"/>
        </w:rPr>
        <w:t>London</w:t>
      </w:r>
      <w:r w:rsidRPr="00AF51B7">
        <w:rPr>
          <w:rFonts w:eastAsia="CMR10"/>
          <w:sz w:val="20"/>
          <w:szCs w:val="20"/>
          <w:lang w:val="en-US" w:eastAsia="ja-JP"/>
        </w:rPr>
        <w:t>, 40, 42–73.</w:t>
      </w:r>
    </w:p>
  </w:footnote>
  <w:footnote w:id="2">
    <w:p w:rsidR="0084461A" w:rsidRPr="00925A28" w:rsidRDefault="0084461A" w:rsidP="00925A28">
      <w:pPr>
        <w:pStyle w:val="FootnoteText"/>
        <w:jc w:val="both"/>
        <w:rPr>
          <w:rFonts w:ascii="Times New Roman" w:hAnsi="Times New Roman"/>
        </w:rPr>
      </w:pPr>
      <w:r w:rsidRPr="00925A28">
        <w:rPr>
          <w:rStyle w:val="FootnoteReference"/>
          <w:rFonts w:ascii="Times New Roman" w:hAnsi="Times New Roman"/>
        </w:rPr>
        <w:footnoteRef/>
      </w:r>
      <w:r w:rsidRPr="00925A28">
        <w:rPr>
          <w:rFonts w:ascii="Times New Roman" w:hAnsi="Times New Roman"/>
        </w:rPr>
        <w:t xml:space="preserve"> Альтернативный п</w:t>
      </w:r>
      <w:r w:rsidR="00C64794">
        <w:rPr>
          <w:rFonts w:ascii="Times New Roman" w:hAnsi="Times New Roman"/>
        </w:rPr>
        <w:t>одход</w:t>
      </w:r>
      <w:r w:rsidRPr="00925A28">
        <w:rPr>
          <w:rFonts w:ascii="Times New Roman" w:hAnsi="Times New Roman"/>
        </w:rPr>
        <w:t xml:space="preserve"> предполагает переход индивидов между классами и использует предпо</w:t>
      </w:r>
      <w:r w:rsidR="00C64794">
        <w:rPr>
          <w:rFonts w:ascii="Times New Roman" w:hAnsi="Times New Roman"/>
        </w:rPr>
        <w:t xml:space="preserve">ложение о Марковском процессе. Однако такой подход </w:t>
      </w:r>
      <w:r w:rsidRPr="00925A28">
        <w:rPr>
          <w:rFonts w:ascii="Times New Roman" w:hAnsi="Times New Roman"/>
        </w:rPr>
        <w:t>не всегда позвол</w:t>
      </w:r>
      <w:r w:rsidR="00C64794">
        <w:rPr>
          <w:rFonts w:ascii="Times New Roman" w:hAnsi="Times New Roman"/>
        </w:rPr>
        <w:t>яет</w:t>
      </w:r>
      <w:r w:rsidRPr="00925A28">
        <w:rPr>
          <w:rFonts w:ascii="Times New Roman" w:hAnsi="Times New Roman"/>
        </w:rPr>
        <w:t xml:space="preserve"> оценить параметры для каждого класса (</w:t>
      </w:r>
      <w:proofErr w:type="spellStart"/>
      <w:r w:rsidRPr="00925A28">
        <w:rPr>
          <w:rFonts w:ascii="Times New Roman" w:hAnsi="Times New Roman"/>
          <w:lang w:val="en-US"/>
        </w:rPr>
        <w:t>Wouterse</w:t>
      </w:r>
      <w:proofErr w:type="spellEnd"/>
      <w:r w:rsidRPr="00925A28">
        <w:rPr>
          <w:rFonts w:ascii="Times New Roman" w:hAnsi="Times New Roman"/>
        </w:rPr>
        <w:t xml:space="preserve"> </w:t>
      </w:r>
      <w:r w:rsidRPr="00925A28">
        <w:rPr>
          <w:rFonts w:ascii="Times New Roman" w:hAnsi="Times New Roman"/>
          <w:lang w:val="en-US"/>
        </w:rPr>
        <w:t>et</w:t>
      </w:r>
      <w:r w:rsidRPr="00925A28">
        <w:rPr>
          <w:rFonts w:ascii="Times New Roman" w:hAnsi="Times New Roman"/>
        </w:rPr>
        <w:t xml:space="preserve"> </w:t>
      </w:r>
      <w:r w:rsidRPr="00925A28">
        <w:rPr>
          <w:rFonts w:ascii="Times New Roman" w:hAnsi="Times New Roman"/>
          <w:lang w:val="en-US"/>
        </w:rPr>
        <w:t>al</w:t>
      </w:r>
      <w:r w:rsidRPr="00925A28">
        <w:rPr>
          <w:rFonts w:ascii="Times New Roman" w:hAnsi="Times New Roman"/>
        </w:rPr>
        <w:t>.</w:t>
      </w:r>
      <w:r w:rsidR="00C64794">
        <w:rPr>
          <w:rFonts w:ascii="Times New Roman" w:hAnsi="Times New Roman"/>
        </w:rPr>
        <w:t>,</w:t>
      </w:r>
      <w:r w:rsidRPr="00925A28">
        <w:rPr>
          <w:rFonts w:ascii="Times New Roman" w:hAnsi="Times New Roman"/>
        </w:rPr>
        <w:t xml:space="preserve"> 2013; </w:t>
      </w:r>
      <w:r w:rsidRPr="00925A28">
        <w:rPr>
          <w:rFonts w:ascii="Times New Roman" w:hAnsi="Times New Roman"/>
          <w:lang w:val="en-US"/>
        </w:rPr>
        <w:t>Collins</w:t>
      </w:r>
      <w:r w:rsidRPr="00925A28">
        <w:rPr>
          <w:rFonts w:ascii="Times New Roman" w:hAnsi="Times New Roman"/>
        </w:rPr>
        <w:t xml:space="preserve"> </w:t>
      </w:r>
      <w:r w:rsidRPr="00925A28">
        <w:rPr>
          <w:rFonts w:ascii="Times New Roman" w:hAnsi="Times New Roman"/>
          <w:lang w:val="en-US"/>
        </w:rPr>
        <w:t>and</w:t>
      </w:r>
      <w:r w:rsidRPr="00925A28">
        <w:rPr>
          <w:rFonts w:ascii="Times New Roman" w:hAnsi="Times New Roman"/>
        </w:rPr>
        <w:t xml:space="preserve"> </w:t>
      </w:r>
      <w:r w:rsidRPr="00925A28">
        <w:rPr>
          <w:rFonts w:ascii="Times New Roman" w:hAnsi="Times New Roman"/>
          <w:lang w:val="en-US"/>
        </w:rPr>
        <w:t>Lanza</w:t>
      </w:r>
      <w:r w:rsidR="00C64794">
        <w:rPr>
          <w:rFonts w:ascii="Times New Roman" w:hAnsi="Times New Roman"/>
        </w:rPr>
        <w:t>,</w:t>
      </w:r>
      <w:r w:rsidRPr="00925A28">
        <w:rPr>
          <w:rFonts w:ascii="Times New Roman" w:hAnsi="Times New Roman"/>
        </w:rPr>
        <w:t xml:space="preserve"> 2010).</w:t>
      </w:r>
    </w:p>
  </w:footnote>
  <w:footnote w:id="3">
    <w:p w:rsidR="0084461A" w:rsidRPr="00925A28" w:rsidRDefault="0084461A" w:rsidP="00925A28">
      <w:pPr>
        <w:pStyle w:val="FootnoteText"/>
        <w:jc w:val="both"/>
        <w:rPr>
          <w:rFonts w:ascii="Times New Roman" w:hAnsi="Times New Roman"/>
        </w:rPr>
      </w:pPr>
      <w:r w:rsidRPr="00925A28">
        <w:rPr>
          <w:rStyle w:val="FootnoteReference"/>
          <w:rFonts w:ascii="Times New Roman" w:hAnsi="Times New Roman"/>
        </w:rPr>
        <w:footnoteRef/>
      </w:r>
      <w:r w:rsidRPr="00925A28">
        <w:rPr>
          <w:rFonts w:ascii="Times New Roman" w:hAnsi="Times New Roman"/>
        </w:rPr>
        <w:t xml:space="preserve"> В качестве альтернативы для апостериорного анализа на основе </w:t>
      </w:r>
      <w:r>
        <w:rPr>
          <w:rFonts w:ascii="Times New Roman" w:hAnsi="Times New Roman"/>
        </w:rPr>
        <w:t>принадлежности</w:t>
      </w:r>
      <w:r w:rsidRPr="00925A28">
        <w:rPr>
          <w:rFonts w:ascii="Times New Roman" w:hAnsi="Times New Roman"/>
        </w:rPr>
        <w:t xml:space="preserve"> каждого индивида к наиболее вероятному латентному классу можно взять взвешенное среднее прогнозных значений зависимой переменной во всех латентных классах (</w:t>
      </w:r>
      <w:r w:rsidRPr="00925A28">
        <w:rPr>
          <w:rFonts w:ascii="Times New Roman" w:hAnsi="Times New Roman"/>
          <w:lang w:val="en-US"/>
        </w:rPr>
        <w:t>Greene</w:t>
      </w:r>
      <w:r w:rsidR="00C64794">
        <w:rPr>
          <w:rFonts w:ascii="Times New Roman" w:hAnsi="Times New Roman"/>
        </w:rPr>
        <w:t>,</w:t>
      </w:r>
      <w:r w:rsidRPr="00925A28">
        <w:rPr>
          <w:rFonts w:ascii="Times New Roman" w:hAnsi="Times New Roman"/>
        </w:rPr>
        <w:t xml:space="preserve"> 2005).</w:t>
      </w:r>
    </w:p>
  </w:footnote>
  <w:footnote w:id="4">
    <w:p w:rsidR="0084461A" w:rsidRPr="00860338" w:rsidRDefault="0084461A" w:rsidP="00860338">
      <w:pPr>
        <w:pStyle w:val="FootnoteText"/>
        <w:jc w:val="both"/>
        <w:rPr>
          <w:rFonts w:ascii="Times New Roman" w:hAnsi="Times New Roman"/>
        </w:rPr>
      </w:pPr>
      <w:r>
        <w:rPr>
          <w:rStyle w:val="FootnoteReference"/>
        </w:rPr>
        <w:footnoteRef/>
      </w:r>
      <w:r>
        <w:t xml:space="preserve"> </w:t>
      </w:r>
      <w:r w:rsidRPr="00860338">
        <w:rPr>
          <w:rFonts w:ascii="Times New Roman" w:hAnsi="Times New Roman"/>
        </w:rPr>
        <w:t xml:space="preserve">Результаты данного анализа, опубликованные в журнале </w:t>
      </w:r>
      <w:r w:rsidRPr="00860338">
        <w:rPr>
          <w:rFonts w:ascii="Times New Roman" w:hAnsi="Times New Roman"/>
          <w:lang w:val="en-US"/>
        </w:rPr>
        <w:t>Japanese</w:t>
      </w:r>
      <w:r w:rsidRPr="00860338">
        <w:rPr>
          <w:rFonts w:ascii="Times New Roman" w:hAnsi="Times New Roman"/>
        </w:rPr>
        <w:t xml:space="preserve"> </w:t>
      </w:r>
      <w:r w:rsidRPr="00860338">
        <w:rPr>
          <w:rFonts w:ascii="Times New Roman" w:hAnsi="Times New Roman"/>
          <w:lang w:val="en-US"/>
        </w:rPr>
        <w:t>Economic</w:t>
      </w:r>
      <w:r w:rsidRPr="00860338">
        <w:rPr>
          <w:rFonts w:ascii="Times New Roman" w:hAnsi="Times New Roman"/>
        </w:rPr>
        <w:t xml:space="preserve"> </w:t>
      </w:r>
      <w:r w:rsidRPr="00860338">
        <w:rPr>
          <w:rFonts w:ascii="Times New Roman" w:hAnsi="Times New Roman"/>
          <w:lang w:val="en-US"/>
        </w:rPr>
        <w:t>Review</w:t>
      </w:r>
      <w:r w:rsidRPr="00860338">
        <w:rPr>
          <w:rFonts w:ascii="Times New Roman" w:hAnsi="Times New Roman"/>
        </w:rPr>
        <w:t>,</w:t>
      </w:r>
      <w:r w:rsidRPr="00860338">
        <w:rPr>
          <w:rFonts w:ascii="Times New Roman" w:eastAsiaTheme="minorEastAsia" w:hAnsi="Times New Roman"/>
          <w:lang w:eastAsia="ja-JP"/>
        </w:rPr>
        <w:t xml:space="preserve"> были также отобраны в специальный выпуск данного журнала </w:t>
      </w:r>
      <w:r w:rsidRPr="00860338">
        <w:rPr>
          <w:rFonts w:ascii="Times New Roman" w:hAnsi="Times New Roman"/>
        </w:rPr>
        <w:t>«Передовые методы прикладной эконометрики» (</w:t>
      </w:r>
      <w:r w:rsidRPr="00860338">
        <w:rPr>
          <w:rFonts w:ascii="Times New Roman" w:hAnsi="Times New Roman"/>
          <w:lang w:val="en-US"/>
        </w:rPr>
        <w:t>Frontiers</w:t>
      </w:r>
      <w:r w:rsidRPr="00860338">
        <w:rPr>
          <w:rFonts w:ascii="Times New Roman" w:hAnsi="Times New Roman"/>
        </w:rPr>
        <w:t xml:space="preserve"> </w:t>
      </w:r>
      <w:r w:rsidRPr="00860338">
        <w:rPr>
          <w:rFonts w:ascii="Times New Roman" w:hAnsi="Times New Roman"/>
          <w:lang w:val="en-US"/>
        </w:rPr>
        <w:t>in</w:t>
      </w:r>
      <w:r w:rsidRPr="00860338">
        <w:rPr>
          <w:rFonts w:ascii="Times New Roman" w:hAnsi="Times New Roman"/>
        </w:rPr>
        <w:t xml:space="preserve"> </w:t>
      </w:r>
      <w:r w:rsidRPr="00860338">
        <w:rPr>
          <w:rFonts w:ascii="Times New Roman" w:hAnsi="Times New Roman"/>
          <w:lang w:val="en-US"/>
        </w:rPr>
        <w:t>applied</w:t>
      </w:r>
      <w:r w:rsidRPr="00860338">
        <w:rPr>
          <w:rFonts w:ascii="Times New Roman" w:hAnsi="Times New Roman"/>
        </w:rPr>
        <w:t xml:space="preserve"> </w:t>
      </w:r>
      <w:r w:rsidRPr="00860338">
        <w:rPr>
          <w:rFonts w:ascii="Times New Roman" w:hAnsi="Times New Roman"/>
          <w:lang w:val="en-US"/>
        </w:rPr>
        <w:t>econometrics</w:t>
      </w:r>
      <w:r w:rsidRPr="00860338">
        <w:rPr>
          <w:rFonts w:ascii="Times New Roman" w:hAnsi="Times New Roman"/>
        </w:rPr>
        <w:t>).</w:t>
      </w:r>
    </w:p>
  </w:footnote>
  <w:footnote w:id="5">
    <w:p w:rsidR="0084461A" w:rsidRPr="00E06A12" w:rsidRDefault="0084461A">
      <w:pPr>
        <w:pStyle w:val="FootnoteText"/>
        <w:rPr>
          <w:rFonts w:ascii="Times New Roman" w:hAnsi="Times New Roman"/>
        </w:rPr>
      </w:pPr>
      <w:r w:rsidRPr="00E06A12">
        <w:rPr>
          <w:rStyle w:val="FootnoteReference"/>
          <w:rFonts w:ascii="Times New Roman" w:hAnsi="Times New Roman"/>
        </w:rPr>
        <w:footnoteRef/>
      </w:r>
      <w:r w:rsidRPr="00E06A12">
        <w:rPr>
          <w:rFonts w:ascii="Times New Roman" w:hAnsi="Times New Roman"/>
        </w:rPr>
        <w:t xml:space="preserve"> Согласно японской модификации 10-й версии Международной классификации болезней (МКБ-10).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1A" w:rsidRDefault="008446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15475"/>
      <w:docPartObj>
        <w:docPartGallery w:val="Page Numbers (Top of Page)"/>
        <w:docPartUnique/>
      </w:docPartObj>
    </w:sdtPr>
    <w:sdtContent>
      <w:p w:rsidR="0084461A" w:rsidRDefault="0084461A">
        <w:pPr>
          <w:pStyle w:val="Header"/>
          <w:jc w:val="center"/>
        </w:pPr>
        <w:r>
          <w:fldChar w:fldCharType="begin"/>
        </w:r>
        <w:r>
          <w:instrText>PAGE   \* MERGEFORMAT</w:instrText>
        </w:r>
        <w:r>
          <w:fldChar w:fldCharType="separate"/>
        </w:r>
        <w:r w:rsidR="00996DC7">
          <w:rPr>
            <w:noProof/>
          </w:rPr>
          <w:t>25</w:t>
        </w:r>
        <w:r>
          <w:fldChar w:fldCharType="end"/>
        </w:r>
      </w:p>
    </w:sdtContent>
  </w:sdt>
  <w:p w:rsidR="0084461A" w:rsidRDefault="008446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1A" w:rsidRDefault="008446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74B"/>
    <w:multiLevelType w:val="hybridMultilevel"/>
    <w:tmpl w:val="74289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D7146"/>
    <w:multiLevelType w:val="hybridMultilevel"/>
    <w:tmpl w:val="FA704D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773A5"/>
    <w:multiLevelType w:val="hybridMultilevel"/>
    <w:tmpl w:val="87064F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08F6E1C"/>
    <w:multiLevelType w:val="hybridMultilevel"/>
    <w:tmpl w:val="B27CE7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F44C4"/>
    <w:multiLevelType w:val="hybridMultilevel"/>
    <w:tmpl w:val="8BBE6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C25"/>
    <w:multiLevelType w:val="hybridMultilevel"/>
    <w:tmpl w:val="81A4EA80"/>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F81B2E"/>
    <w:multiLevelType w:val="hybridMultilevel"/>
    <w:tmpl w:val="CC324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A5D8C"/>
    <w:multiLevelType w:val="hybridMultilevel"/>
    <w:tmpl w:val="29C2453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D4571"/>
    <w:multiLevelType w:val="hybridMultilevel"/>
    <w:tmpl w:val="84E279CE"/>
    <w:lvl w:ilvl="0" w:tplc="B7B4FD76">
      <w:start w:val="1"/>
      <w:numFmt w:val="decimal"/>
      <w:lvlText w:val="%1."/>
      <w:lvlJc w:val="left"/>
      <w:pPr>
        <w:ind w:left="720" w:hanging="360"/>
      </w:pPr>
      <w:rPr>
        <w:rFonts w:hint="default"/>
        <w:b w:val="0"/>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020DB"/>
    <w:multiLevelType w:val="hybridMultilevel"/>
    <w:tmpl w:val="0B3099C0"/>
    <w:lvl w:ilvl="0" w:tplc="461AE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834790"/>
    <w:multiLevelType w:val="hybridMultilevel"/>
    <w:tmpl w:val="0F16049C"/>
    <w:lvl w:ilvl="0" w:tplc="FBD4AAF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E935617"/>
    <w:multiLevelType w:val="hybridMultilevel"/>
    <w:tmpl w:val="0D6C45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4EC63585"/>
    <w:multiLevelType w:val="hybridMultilevel"/>
    <w:tmpl w:val="D6C01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0751CE"/>
    <w:multiLevelType w:val="hybridMultilevel"/>
    <w:tmpl w:val="950EA952"/>
    <w:lvl w:ilvl="0" w:tplc="0419000F">
      <w:start w:val="1"/>
      <w:numFmt w:val="decimal"/>
      <w:lvlText w:val="%1."/>
      <w:lvlJc w:val="left"/>
      <w:pPr>
        <w:tabs>
          <w:tab w:val="num" w:pos="720"/>
        </w:tabs>
        <w:ind w:left="720" w:hanging="360"/>
      </w:pPr>
      <w:rPr>
        <w:rFonts w:hint="default"/>
      </w:rPr>
    </w:lvl>
    <w:lvl w:ilvl="1" w:tplc="2E3E858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22D0A9A"/>
    <w:multiLevelType w:val="hybridMultilevel"/>
    <w:tmpl w:val="CA54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1CAF"/>
    <w:multiLevelType w:val="hybridMultilevel"/>
    <w:tmpl w:val="334C3E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6C56EE"/>
    <w:multiLevelType w:val="hybridMultilevel"/>
    <w:tmpl w:val="7C1E2786"/>
    <w:lvl w:ilvl="0" w:tplc="A906D4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7"/>
  </w:num>
  <w:num w:numId="3">
    <w:abstractNumId w:val="5"/>
  </w:num>
  <w:num w:numId="4">
    <w:abstractNumId w:val="1"/>
  </w:num>
  <w:num w:numId="5">
    <w:abstractNumId w:val="15"/>
  </w:num>
  <w:num w:numId="6">
    <w:abstractNumId w:val="3"/>
  </w:num>
  <w:num w:numId="7">
    <w:abstractNumId w:val="10"/>
  </w:num>
  <w:num w:numId="8">
    <w:abstractNumId w:val="12"/>
  </w:num>
  <w:num w:numId="9">
    <w:abstractNumId w:val="4"/>
  </w:num>
  <w:num w:numId="10">
    <w:abstractNumId w:val="2"/>
  </w:num>
  <w:num w:numId="11">
    <w:abstractNumId w:val="0"/>
  </w:num>
  <w:num w:numId="12">
    <w:abstractNumId w:val="11"/>
  </w:num>
  <w:num w:numId="13">
    <w:abstractNumId w:val="14"/>
  </w:num>
  <w:num w:numId="14">
    <w:abstractNumId w:val="1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CD"/>
    <w:rsid w:val="000020B9"/>
    <w:rsid w:val="00023E28"/>
    <w:rsid w:val="00037A9C"/>
    <w:rsid w:val="000475A4"/>
    <w:rsid w:val="000550B8"/>
    <w:rsid w:val="00072A40"/>
    <w:rsid w:val="00086AE9"/>
    <w:rsid w:val="00095307"/>
    <w:rsid w:val="000A461E"/>
    <w:rsid w:val="000A5A5D"/>
    <w:rsid w:val="000B1CA6"/>
    <w:rsid w:val="000C109F"/>
    <w:rsid w:val="000D1E36"/>
    <w:rsid w:val="000D57FA"/>
    <w:rsid w:val="000F64A4"/>
    <w:rsid w:val="001250AD"/>
    <w:rsid w:val="001345D0"/>
    <w:rsid w:val="00134766"/>
    <w:rsid w:val="0014233B"/>
    <w:rsid w:val="0016459A"/>
    <w:rsid w:val="00172DAD"/>
    <w:rsid w:val="001738EA"/>
    <w:rsid w:val="001808FA"/>
    <w:rsid w:val="001C46F3"/>
    <w:rsid w:val="001D2EA6"/>
    <w:rsid w:val="001F54FC"/>
    <w:rsid w:val="001F603A"/>
    <w:rsid w:val="002040A5"/>
    <w:rsid w:val="00206CA6"/>
    <w:rsid w:val="00216938"/>
    <w:rsid w:val="00227BDF"/>
    <w:rsid w:val="00230251"/>
    <w:rsid w:val="0023491C"/>
    <w:rsid w:val="00242778"/>
    <w:rsid w:val="00282A6D"/>
    <w:rsid w:val="0028764D"/>
    <w:rsid w:val="00294F9D"/>
    <w:rsid w:val="002979C3"/>
    <w:rsid w:val="002B4D99"/>
    <w:rsid w:val="002D1CDC"/>
    <w:rsid w:val="002E567D"/>
    <w:rsid w:val="002F66F2"/>
    <w:rsid w:val="00300B59"/>
    <w:rsid w:val="003075AD"/>
    <w:rsid w:val="0032706E"/>
    <w:rsid w:val="00327EF9"/>
    <w:rsid w:val="0034301E"/>
    <w:rsid w:val="00352236"/>
    <w:rsid w:val="00375C07"/>
    <w:rsid w:val="00385EB3"/>
    <w:rsid w:val="003A2BFC"/>
    <w:rsid w:val="003A3D3F"/>
    <w:rsid w:val="003A48CB"/>
    <w:rsid w:val="003B292F"/>
    <w:rsid w:val="00404AED"/>
    <w:rsid w:val="00416F86"/>
    <w:rsid w:val="00427716"/>
    <w:rsid w:val="00432AB8"/>
    <w:rsid w:val="00433AA7"/>
    <w:rsid w:val="00475BE1"/>
    <w:rsid w:val="00496A84"/>
    <w:rsid w:val="004B4F3B"/>
    <w:rsid w:val="004D3183"/>
    <w:rsid w:val="004D788D"/>
    <w:rsid w:val="004F0D31"/>
    <w:rsid w:val="004F14A5"/>
    <w:rsid w:val="004F2CBC"/>
    <w:rsid w:val="00515832"/>
    <w:rsid w:val="00522FEE"/>
    <w:rsid w:val="00532AE8"/>
    <w:rsid w:val="00533B46"/>
    <w:rsid w:val="005343D3"/>
    <w:rsid w:val="005824A6"/>
    <w:rsid w:val="005A1F0F"/>
    <w:rsid w:val="005A2EA2"/>
    <w:rsid w:val="005C51E3"/>
    <w:rsid w:val="005C6034"/>
    <w:rsid w:val="005C6076"/>
    <w:rsid w:val="005D3A9C"/>
    <w:rsid w:val="005D3E4F"/>
    <w:rsid w:val="005F5CAA"/>
    <w:rsid w:val="005F7297"/>
    <w:rsid w:val="00600B32"/>
    <w:rsid w:val="0060733F"/>
    <w:rsid w:val="00615788"/>
    <w:rsid w:val="006162F4"/>
    <w:rsid w:val="0062238A"/>
    <w:rsid w:val="00630D26"/>
    <w:rsid w:val="00633AC9"/>
    <w:rsid w:val="00634652"/>
    <w:rsid w:val="0063575F"/>
    <w:rsid w:val="00636657"/>
    <w:rsid w:val="00640BF7"/>
    <w:rsid w:val="0064224B"/>
    <w:rsid w:val="00651D3D"/>
    <w:rsid w:val="00673286"/>
    <w:rsid w:val="00681C9F"/>
    <w:rsid w:val="006B399F"/>
    <w:rsid w:val="006B53D9"/>
    <w:rsid w:val="006C0EDB"/>
    <w:rsid w:val="006C12B5"/>
    <w:rsid w:val="006E165B"/>
    <w:rsid w:val="006E566C"/>
    <w:rsid w:val="006E6792"/>
    <w:rsid w:val="006E7C9E"/>
    <w:rsid w:val="00703000"/>
    <w:rsid w:val="00703587"/>
    <w:rsid w:val="00713DB5"/>
    <w:rsid w:val="007332AD"/>
    <w:rsid w:val="00745531"/>
    <w:rsid w:val="0075495D"/>
    <w:rsid w:val="00762D51"/>
    <w:rsid w:val="007759AC"/>
    <w:rsid w:val="007A20DA"/>
    <w:rsid w:val="007A25BB"/>
    <w:rsid w:val="007A4224"/>
    <w:rsid w:val="007C001E"/>
    <w:rsid w:val="007C470C"/>
    <w:rsid w:val="007D5138"/>
    <w:rsid w:val="007D6059"/>
    <w:rsid w:val="007E4E3F"/>
    <w:rsid w:val="007F0043"/>
    <w:rsid w:val="007F5FDF"/>
    <w:rsid w:val="007F71B9"/>
    <w:rsid w:val="00822D20"/>
    <w:rsid w:val="00833FDC"/>
    <w:rsid w:val="0083525F"/>
    <w:rsid w:val="00836A50"/>
    <w:rsid w:val="0084461A"/>
    <w:rsid w:val="00853169"/>
    <w:rsid w:val="00860338"/>
    <w:rsid w:val="00866F30"/>
    <w:rsid w:val="00875648"/>
    <w:rsid w:val="00876510"/>
    <w:rsid w:val="0089098A"/>
    <w:rsid w:val="00896DED"/>
    <w:rsid w:val="008A09DC"/>
    <w:rsid w:val="008A61DA"/>
    <w:rsid w:val="008D1C74"/>
    <w:rsid w:val="008F0A60"/>
    <w:rsid w:val="008F371F"/>
    <w:rsid w:val="008F685A"/>
    <w:rsid w:val="00917596"/>
    <w:rsid w:val="00925A28"/>
    <w:rsid w:val="009526C4"/>
    <w:rsid w:val="00962514"/>
    <w:rsid w:val="00967939"/>
    <w:rsid w:val="00976AB8"/>
    <w:rsid w:val="00996DC7"/>
    <w:rsid w:val="009A1CCF"/>
    <w:rsid w:val="009A6C17"/>
    <w:rsid w:val="009C46DA"/>
    <w:rsid w:val="009F0319"/>
    <w:rsid w:val="009F62CD"/>
    <w:rsid w:val="00A35FFA"/>
    <w:rsid w:val="00A67995"/>
    <w:rsid w:val="00A73C0C"/>
    <w:rsid w:val="00A769AB"/>
    <w:rsid w:val="00A93072"/>
    <w:rsid w:val="00A946DA"/>
    <w:rsid w:val="00A97976"/>
    <w:rsid w:val="00AA52D1"/>
    <w:rsid w:val="00AB139A"/>
    <w:rsid w:val="00AC6223"/>
    <w:rsid w:val="00AD022A"/>
    <w:rsid w:val="00AD3BC3"/>
    <w:rsid w:val="00AE4EC6"/>
    <w:rsid w:val="00AE759B"/>
    <w:rsid w:val="00AF51B7"/>
    <w:rsid w:val="00B05D8C"/>
    <w:rsid w:val="00B11F52"/>
    <w:rsid w:val="00B24ADF"/>
    <w:rsid w:val="00B362D1"/>
    <w:rsid w:val="00B60B17"/>
    <w:rsid w:val="00B76913"/>
    <w:rsid w:val="00B9598C"/>
    <w:rsid w:val="00B961EC"/>
    <w:rsid w:val="00BA0EF8"/>
    <w:rsid w:val="00BC4EE8"/>
    <w:rsid w:val="00BC59D2"/>
    <w:rsid w:val="00BD3944"/>
    <w:rsid w:val="00BD6092"/>
    <w:rsid w:val="00BF5A0D"/>
    <w:rsid w:val="00C2185F"/>
    <w:rsid w:val="00C268D7"/>
    <w:rsid w:val="00C37242"/>
    <w:rsid w:val="00C55B7E"/>
    <w:rsid w:val="00C63B97"/>
    <w:rsid w:val="00C64794"/>
    <w:rsid w:val="00C75D51"/>
    <w:rsid w:val="00C856BA"/>
    <w:rsid w:val="00C87C3F"/>
    <w:rsid w:val="00C97A49"/>
    <w:rsid w:val="00CA3FC7"/>
    <w:rsid w:val="00CC335F"/>
    <w:rsid w:val="00CD2F41"/>
    <w:rsid w:val="00CD2F78"/>
    <w:rsid w:val="00CD5A48"/>
    <w:rsid w:val="00CD63FC"/>
    <w:rsid w:val="00CE0992"/>
    <w:rsid w:val="00CE3802"/>
    <w:rsid w:val="00CE7F3E"/>
    <w:rsid w:val="00D02836"/>
    <w:rsid w:val="00D231D5"/>
    <w:rsid w:val="00D367A5"/>
    <w:rsid w:val="00D52F95"/>
    <w:rsid w:val="00D53BD2"/>
    <w:rsid w:val="00D53D44"/>
    <w:rsid w:val="00D60043"/>
    <w:rsid w:val="00D778D1"/>
    <w:rsid w:val="00D80764"/>
    <w:rsid w:val="00D927A2"/>
    <w:rsid w:val="00DA07C4"/>
    <w:rsid w:val="00DA26C2"/>
    <w:rsid w:val="00DA40A4"/>
    <w:rsid w:val="00DB5E94"/>
    <w:rsid w:val="00DB7DDD"/>
    <w:rsid w:val="00DC2507"/>
    <w:rsid w:val="00DC2D13"/>
    <w:rsid w:val="00DE1DA5"/>
    <w:rsid w:val="00DF5200"/>
    <w:rsid w:val="00E06A12"/>
    <w:rsid w:val="00E135BA"/>
    <w:rsid w:val="00E220D1"/>
    <w:rsid w:val="00E2445F"/>
    <w:rsid w:val="00E8373D"/>
    <w:rsid w:val="00E85DFC"/>
    <w:rsid w:val="00E91CA1"/>
    <w:rsid w:val="00EB2B19"/>
    <w:rsid w:val="00EB52B6"/>
    <w:rsid w:val="00EC37A5"/>
    <w:rsid w:val="00EC558B"/>
    <w:rsid w:val="00EC6192"/>
    <w:rsid w:val="00ED0921"/>
    <w:rsid w:val="00ED40EF"/>
    <w:rsid w:val="00EF5AD3"/>
    <w:rsid w:val="00F003E5"/>
    <w:rsid w:val="00F108AA"/>
    <w:rsid w:val="00F17933"/>
    <w:rsid w:val="00F21DDD"/>
    <w:rsid w:val="00F24E2F"/>
    <w:rsid w:val="00F27417"/>
    <w:rsid w:val="00F50653"/>
    <w:rsid w:val="00F66E2E"/>
    <w:rsid w:val="00F837D6"/>
    <w:rsid w:val="00F91229"/>
    <w:rsid w:val="00FA017B"/>
    <w:rsid w:val="00FA6A73"/>
    <w:rsid w:val="00FD01D7"/>
    <w:rsid w:val="00FE7C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0DD1"/>
  <w15:docId w15:val="{3F96B804-D6FA-4944-A0ED-B7942A00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CD"/>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3525F"/>
    <w:pPr>
      <w:keepNext/>
      <w:spacing w:before="240" w:after="60"/>
      <w:outlineLvl w:val="0"/>
    </w:pPr>
    <w:rPr>
      <w:rFonts w:ascii="Cambria" w:eastAsia="MS Gothic" w:hAnsi="Cambria"/>
      <w:b/>
      <w:bCs/>
      <w:kern w:val="32"/>
      <w:sz w:val="32"/>
      <w:szCs w:val="32"/>
      <w:lang w:eastAsia="zh-TW" w:bidi="he-IL"/>
    </w:rPr>
  </w:style>
  <w:style w:type="paragraph" w:styleId="Heading2">
    <w:name w:val="heading 2"/>
    <w:basedOn w:val="Normal"/>
    <w:next w:val="Normal"/>
    <w:link w:val="Heading2Char"/>
    <w:uiPriority w:val="9"/>
    <w:semiHidden/>
    <w:unhideWhenUsed/>
    <w:qFormat/>
    <w:rsid w:val="00023E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3E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single space Char"/>
    <w:basedOn w:val="Normal"/>
    <w:link w:val="FootnoteTextChar"/>
    <w:qFormat/>
    <w:rsid w:val="000A5A5D"/>
    <w:rPr>
      <w:rFonts w:ascii="MS Sans Serif" w:hAnsi="MS Sans Serif"/>
      <w:sz w:val="20"/>
      <w:szCs w:val="20"/>
    </w:rPr>
  </w:style>
  <w:style w:type="character" w:customStyle="1" w:styleId="a">
    <w:name w:val="Текст сноски Знак"/>
    <w:basedOn w:val="DefaultParagraphFont"/>
    <w:uiPriority w:val="99"/>
    <w:semiHidden/>
    <w:rsid w:val="000A5A5D"/>
    <w:rPr>
      <w:rFonts w:ascii="Times New Roman" w:eastAsia="Times New Roman" w:hAnsi="Times New Roman" w:cs="Times New Roman"/>
      <w:sz w:val="20"/>
      <w:szCs w:val="20"/>
      <w:lang w:eastAsia="ru-RU"/>
    </w:rPr>
  </w:style>
  <w:style w:type="character" w:styleId="FootnoteReference">
    <w:name w:val="footnote reference"/>
    <w:aliases w:val="Знак сноски-FN,Ciae niinee-FN,Знак сноски 1"/>
    <w:rsid w:val="000A5A5D"/>
    <w:rPr>
      <w:vertAlign w:val="superscript"/>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1"/>
    <w:link w:val="FootnoteText"/>
    <w:rsid w:val="000A5A5D"/>
    <w:rPr>
      <w:rFonts w:ascii="MS Sans Serif" w:eastAsia="Times New Roman" w:hAnsi="MS Sans Serif" w:cs="Times New Roman"/>
      <w:sz w:val="20"/>
      <w:szCs w:val="20"/>
      <w:lang w:eastAsia="ru-RU"/>
    </w:rPr>
  </w:style>
  <w:style w:type="character" w:customStyle="1" w:styleId="medium-font">
    <w:name w:val="medium-font"/>
    <w:rsid w:val="00875648"/>
    <w:rPr>
      <w:rFonts w:cs="Times New Roman"/>
    </w:rPr>
  </w:style>
  <w:style w:type="paragraph" w:customStyle="1" w:styleId="abstract">
    <w:name w:val="abstract"/>
    <w:basedOn w:val="Normal"/>
    <w:next w:val="Normal"/>
    <w:rsid w:val="00875648"/>
    <w:pPr>
      <w:widowControl w:val="0"/>
      <w:spacing w:before="120"/>
      <w:jc w:val="both"/>
    </w:pPr>
    <w:rPr>
      <w:rFonts w:ascii="Century" w:eastAsia="MS Mincho" w:hAnsi="Century"/>
      <w:kern w:val="2"/>
      <w:sz w:val="20"/>
      <w:lang w:val="en-US" w:eastAsia="ja-JP"/>
    </w:rPr>
  </w:style>
  <w:style w:type="paragraph" w:styleId="ListParagraph">
    <w:name w:val="List Paragraph"/>
    <w:basedOn w:val="Normal"/>
    <w:uiPriority w:val="34"/>
    <w:qFormat/>
    <w:rsid w:val="00DF5200"/>
    <w:pPr>
      <w:ind w:left="720"/>
      <w:contextualSpacing/>
    </w:pPr>
  </w:style>
  <w:style w:type="character" w:customStyle="1" w:styleId="Heading1Char">
    <w:name w:val="Heading 1 Char"/>
    <w:basedOn w:val="DefaultParagraphFont"/>
    <w:link w:val="Heading1"/>
    <w:rsid w:val="0083525F"/>
    <w:rPr>
      <w:rFonts w:ascii="Cambria" w:eastAsia="MS Gothic" w:hAnsi="Cambria" w:cs="Times New Roman"/>
      <w:b/>
      <w:bCs/>
      <w:kern w:val="32"/>
      <w:sz w:val="32"/>
      <w:szCs w:val="32"/>
      <w:lang w:eastAsia="zh-TW" w:bidi="he-IL"/>
    </w:rPr>
  </w:style>
  <w:style w:type="character" w:styleId="Hyperlink">
    <w:name w:val="Hyperlink"/>
    <w:uiPriority w:val="99"/>
    <w:rsid w:val="0083525F"/>
    <w:rPr>
      <w:rFonts w:cs="Times New Roman"/>
      <w:color w:val="0000FF"/>
      <w:u w:val="single"/>
    </w:rPr>
  </w:style>
  <w:style w:type="paragraph" w:styleId="BodyTextIndent2">
    <w:name w:val="Body Text Indent 2"/>
    <w:basedOn w:val="Normal"/>
    <w:link w:val="BodyTextIndent2Char"/>
    <w:rsid w:val="00853169"/>
    <w:pPr>
      <w:spacing w:after="120" w:line="480" w:lineRule="auto"/>
      <w:ind w:left="283"/>
    </w:pPr>
  </w:style>
  <w:style w:type="character" w:customStyle="1" w:styleId="BodyTextIndent2Char">
    <w:name w:val="Body Text Indent 2 Char"/>
    <w:basedOn w:val="DefaultParagraphFont"/>
    <w:link w:val="BodyTextIndent2"/>
    <w:rsid w:val="00853169"/>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F5A0D"/>
    <w:pPr>
      <w:tabs>
        <w:tab w:val="center" w:pos="4677"/>
        <w:tab w:val="right" w:pos="9355"/>
      </w:tabs>
    </w:pPr>
  </w:style>
  <w:style w:type="character" w:customStyle="1" w:styleId="HeaderChar">
    <w:name w:val="Header Char"/>
    <w:basedOn w:val="DefaultParagraphFont"/>
    <w:link w:val="Header"/>
    <w:uiPriority w:val="99"/>
    <w:rsid w:val="00BF5A0D"/>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F5A0D"/>
    <w:pPr>
      <w:tabs>
        <w:tab w:val="center" w:pos="4677"/>
        <w:tab w:val="right" w:pos="9355"/>
      </w:tabs>
    </w:pPr>
  </w:style>
  <w:style w:type="character" w:customStyle="1" w:styleId="FooterChar">
    <w:name w:val="Footer Char"/>
    <w:basedOn w:val="DefaultParagraphFont"/>
    <w:link w:val="Footer"/>
    <w:uiPriority w:val="99"/>
    <w:rsid w:val="00BF5A0D"/>
    <w:rPr>
      <w:rFonts w:ascii="Times New Roman" w:eastAsia="Times New Roman" w:hAnsi="Times New Roman" w:cs="Times New Roman"/>
      <w:sz w:val="24"/>
      <w:szCs w:val="24"/>
      <w:lang w:eastAsia="ru-RU"/>
    </w:rPr>
  </w:style>
  <w:style w:type="character" w:customStyle="1" w:styleId="Heading2Char">
    <w:name w:val="Heading 2 Char"/>
    <w:basedOn w:val="DefaultParagraphFont"/>
    <w:link w:val="Heading2"/>
    <w:uiPriority w:val="9"/>
    <w:semiHidden/>
    <w:rsid w:val="00023E28"/>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basedOn w:val="DefaultParagraphFont"/>
    <w:link w:val="Heading3"/>
    <w:uiPriority w:val="9"/>
    <w:semiHidden/>
    <w:rsid w:val="00023E28"/>
    <w:rPr>
      <w:rFonts w:asciiTheme="majorHAnsi" w:eastAsiaTheme="majorEastAsia" w:hAnsiTheme="majorHAnsi" w:cstheme="majorBidi"/>
      <w:b/>
      <w:bCs/>
      <w:color w:val="4F81BD" w:themeColor="accent1"/>
      <w:sz w:val="24"/>
      <w:szCs w:val="24"/>
      <w:lang w:eastAsia="ru-RU"/>
    </w:rPr>
  </w:style>
  <w:style w:type="character" w:customStyle="1" w:styleId="2">
    <w:name w:val="Текст сноски Знак2"/>
    <w:aliases w:val="Текст сноски-FN Знак1,Текст сноски Знак Знак1,Oaeno niinee-FN Знак1,Oaeno niinee Ciae Знак1,Table_Footnote_last Знак1,Текст сноски Знак1 Знак Знак1,Текст сноски Знак Знак Знак Знак1,Footnote Text Char Знак Знак Знак1"/>
    <w:semiHidden/>
    <w:rsid w:val="00023E28"/>
    <w:rPr>
      <w:rFonts w:eastAsia="MS Mincho"/>
      <w:lang w:val="ru-RU" w:eastAsia="ja-JP" w:bidi="ar-SA"/>
    </w:rPr>
  </w:style>
  <w:style w:type="paragraph" w:styleId="BodyText">
    <w:name w:val="Body Text"/>
    <w:basedOn w:val="Normal"/>
    <w:link w:val="BodyTextChar"/>
    <w:uiPriority w:val="99"/>
    <w:unhideWhenUsed/>
    <w:rsid w:val="00CC335F"/>
    <w:pPr>
      <w:spacing w:after="120"/>
    </w:pPr>
  </w:style>
  <w:style w:type="character" w:customStyle="1" w:styleId="BodyTextChar">
    <w:name w:val="Body Text Char"/>
    <w:basedOn w:val="DefaultParagraphFont"/>
    <w:link w:val="BodyText"/>
    <w:uiPriority w:val="99"/>
    <w:rsid w:val="00CC335F"/>
    <w:rPr>
      <w:rFonts w:ascii="Times New Roman" w:eastAsia="Times New Roman" w:hAnsi="Times New Roman" w:cs="Times New Roman"/>
      <w:sz w:val="24"/>
      <w:szCs w:val="24"/>
      <w:lang w:eastAsia="ru-RU"/>
    </w:rPr>
  </w:style>
  <w:style w:type="paragraph" w:styleId="Bibliography">
    <w:name w:val="Bibliography"/>
    <w:basedOn w:val="Normal"/>
    <w:next w:val="Normal"/>
    <w:uiPriority w:val="37"/>
    <w:semiHidden/>
    <w:unhideWhenUsed/>
    <w:rsid w:val="00CC335F"/>
  </w:style>
  <w:style w:type="paragraph" w:customStyle="1" w:styleId="FirstParagraph">
    <w:name w:val="First Paragraph"/>
    <w:basedOn w:val="BodyText"/>
    <w:next w:val="BodyText"/>
    <w:qFormat/>
    <w:rsid w:val="00CC335F"/>
    <w:pPr>
      <w:spacing w:before="180" w:after="180"/>
    </w:pPr>
    <w:rPr>
      <w:rFonts w:asciiTheme="minorHAnsi" w:eastAsiaTheme="minorHAnsi" w:hAnsiTheme="minorHAnsi" w:cstheme="minorBidi"/>
      <w:lang w:val="en-US" w:eastAsia="en-US"/>
    </w:rPr>
  </w:style>
  <w:style w:type="paragraph" w:customStyle="1" w:styleId="Default">
    <w:name w:val="Default"/>
    <w:rsid w:val="00DB5E94"/>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MTDisplayEquation">
    <w:name w:val="MTDisplayEquation"/>
    <w:basedOn w:val="BodyText"/>
    <w:next w:val="Normal"/>
    <w:link w:val="MTDisplayEquationChar"/>
    <w:rsid w:val="00375C07"/>
    <w:pPr>
      <w:tabs>
        <w:tab w:val="center" w:pos="4680"/>
        <w:tab w:val="right" w:pos="9360"/>
      </w:tabs>
      <w:spacing w:before="180" w:after="180"/>
    </w:pPr>
    <w:rPr>
      <w:rFonts w:ascii="Cambria" w:eastAsia="MS Mincho" w:hAnsi="Cambria"/>
      <w:lang w:val="en-US" w:eastAsia="en-US"/>
    </w:rPr>
  </w:style>
  <w:style w:type="character" w:customStyle="1" w:styleId="MTDisplayEquationChar">
    <w:name w:val="MTDisplayEquation Char"/>
    <w:basedOn w:val="BodyTextChar"/>
    <w:link w:val="MTDisplayEquation"/>
    <w:rsid w:val="00375C07"/>
    <w:rPr>
      <w:rFonts w:ascii="Cambria" w:eastAsia="MS Mincho" w:hAnsi="Cambria" w:cs="Times New Roman"/>
      <w:sz w:val="24"/>
      <w:szCs w:val="24"/>
      <w:lang w:val="en-US" w:eastAsia="en-US"/>
    </w:rPr>
  </w:style>
  <w:style w:type="character" w:styleId="Strong">
    <w:name w:val="Strong"/>
    <w:uiPriority w:val="22"/>
    <w:qFormat/>
    <w:rsid w:val="00762D51"/>
    <w:rPr>
      <w:b/>
      <w:bCs/>
    </w:rPr>
  </w:style>
  <w:style w:type="paragraph" w:customStyle="1" w:styleId="reference">
    <w:name w:val="reference"/>
    <w:basedOn w:val="Normal"/>
    <w:rsid w:val="00762D51"/>
    <w:pPr>
      <w:widowControl w:val="0"/>
      <w:jc w:val="both"/>
    </w:pPr>
    <w:rPr>
      <w:rFonts w:ascii="Century" w:eastAsia="MS Mincho" w:hAnsi="Century"/>
      <w:kern w:val="2"/>
      <w:sz w:val="20"/>
      <w:lang w:val="en-US" w:eastAsia="ja-JP"/>
    </w:rPr>
  </w:style>
  <w:style w:type="paragraph" w:styleId="BalloonText">
    <w:name w:val="Balloon Text"/>
    <w:basedOn w:val="Normal"/>
    <w:link w:val="BalloonTextChar"/>
    <w:uiPriority w:val="99"/>
    <w:semiHidden/>
    <w:unhideWhenUsed/>
    <w:rsid w:val="00B6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hyperlink" Target="http://www-siepr.stanford.edu/repec/sip/14-006.pdf" TargetMode="External"/><Relationship Id="rId68" Type="http://schemas.openxmlformats.org/officeDocument/2006/relationships/hyperlink" Target="https://ideas.repec.org/p/cfr/cefirw/w0247.html" TargetMode="External"/><Relationship Id="rId84" Type="http://schemas.openxmlformats.org/officeDocument/2006/relationships/hyperlink" Target="https://dx.doi.org/10.2139/ssrn.3284257" TargetMode="External"/><Relationship Id="rId89" Type="http://schemas.openxmlformats.org/officeDocument/2006/relationships/hyperlink" Target="https://congress-creator-final.s3.amazonaws.com/s3fs-private/2021-02/US-P4P-paper.pdf" TargetMode="Externa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hyperlink" Target="http://www.cefir.ru/papers/WP204.pdf" TargetMode="External"/><Relationship Id="rId79" Type="http://schemas.openxmlformats.org/officeDocument/2006/relationships/hyperlink" Target="http://www.cefir.ru/papers/WP163_2012.pdf"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law.northwestern.edu/research-faculty/clbe/events/innovation/documents/besstremyannaya_innovation-ma.pdf" TargetMode="External"/><Relationship Id="rId95" Type="http://schemas.openxmlformats.org/officeDocument/2006/relationships/hyperlink" Target="https://editorialexpress.com/cgi-bin/conference/download.cgi?db_name=EEAESEM2017&amp;paper_id=303" TargetMode="Externa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hyperlink" Target="https://www.econstor.eu/bitstream/10419/193969/1/1067870121.pdf" TargetMode="External"/><Relationship Id="rId69" Type="http://schemas.openxmlformats.org/officeDocument/2006/relationships/hyperlink" Target="http://www.cefir.ru/papers/WP245.pdf" TargetMode="External"/><Relationship Id="rId80" Type="http://schemas.openxmlformats.org/officeDocument/2006/relationships/hyperlink" Target="https://papers.ssrn.com/sol3/papers.cfm?abstract_id=3307177" TargetMode="External"/><Relationship Id="rId85" Type="http://schemas.openxmlformats.org/officeDocument/2006/relationships/hyperlink" Target="https://freepolicybriefs.org/wp-content/uploads/2019/04/freepolicybriefs_apr152019.pdf"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header" Target="header3.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hyperlink" Target="http://www-siepr.stanford.edu/repec/sip/14-014.pdf" TargetMode="External"/><Relationship Id="rId70" Type="http://schemas.openxmlformats.org/officeDocument/2006/relationships/hyperlink" Target="http://www.cefir.ru/papers/WP244.pdf" TargetMode="External"/><Relationship Id="rId75" Type="http://schemas.openxmlformats.org/officeDocument/2006/relationships/hyperlink" Target="http://www.cefir.ru/papers/WP203.pdf" TargetMode="External"/><Relationship Id="rId83" Type="http://schemas.openxmlformats.org/officeDocument/2006/relationships/hyperlink" Target="https://papers.ssrn.com/sol3/papers.cfm?abstract_id=3307177" TargetMode="External"/><Relationship Id="rId88" Type="http://schemas.openxmlformats.org/officeDocument/2006/relationships/hyperlink" Target="http://freepolicybriefs.files.wordpress.com/2013/10/freepolicybriefs_galinaoct28.pdf" TargetMode="External"/><Relationship Id="rId91" Type="http://schemas.openxmlformats.org/officeDocument/2006/relationships/hyperlink" Target="https://editorialexpress.com/cgi-bin/conference/download.cgi?db_name=EEAESEM2019&amp;paper_id=353" TargetMode="External"/><Relationship Id="rId96" Type="http://schemas.openxmlformats.org/officeDocument/2006/relationships/hyperlink" Target="https://editorialexpress.com/cgi-bin/conference/download.cgi?db_name=EEAESEM2016&amp;paper_id=11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hyperlink" Target="https://cinch.uni-due.de/fileadmin/content/research/workingpaper/CINCH-WP-2019-03.pdf" TargetMode="External"/><Relationship Id="rId73" Type="http://schemas.openxmlformats.org/officeDocument/2006/relationships/hyperlink" Target="http://www.cefir.ru/papers/WP206.pdf" TargetMode="External"/><Relationship Id="rId78" Type="http://schemas.openxmlformats.org/officeDocument/2006/relationships/hyperlink" Target="http://www.cefir.ru/papers/WP172_final.pdf" TargetMode="External"/><Relationship Id="rId81" Type="http://schemas.openxmlformats.org/officeDocument/2006/relationships/hyperlink" Target="http://doi.org/10.2139/ssrn.3307177" TargetMode="External"/><Relationship Id="rId86" Type="http://schemas.openxmlformats.org/officeDocument/2006/relationships/hyperlink" Target="http://freepolicybriefs.org/wp-content/uploads/2017/10/FREEPolicyBriefs_Oct9.pdf" TargetMode="External"/><Relationship Id="rId94" Type="http://schemas.openxmlformats.org/officeDocument/2006/relationships/hyperlink" Target="https://editorialexpress.com/cgi-bin/conference/download.cgi?db_name=EEAESEM2018&amp;paper_id=144"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hyperlink" Target="http://www.cefir.ru/papers/WP193.pdf" TargetMode="External"/><Relationship Id="rId97" Type="http://schemas.openxmlformats.org/officeDocument/2006/relationships/hyperlink" Target="https://editorialexpress.com/cgi-bin/conference/download.cgi?db_name=EEAMannheim2015&amp;paper_id=317" TargetMode="Externa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cefir.ru/papers/WP218.pdf" TargetMode="External"/><Relationship Id="rId92" Type="http://schemas.openxmlformats.org/officeDocument/2006/relationships/hyperlink" Target="https://editorialexpress.com/cgi-bin/conference/download.cgi?db_name=EEAESEM2019&amp;paper_id=257" TargetMode="External"/><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hyperlink" Target="http://www.cefir.ru/papers/WP249.pdf" TargetMode="External"/><Relationship Id="rId87" Type="http://schemas.openxmlformats.org/officeDocument/2006/relationships/hyperlink" Target="http://freepolicybriefs.org/2016/10/17/pay-performance-quality-health-care-lessons-medicare-reforms/" TargetMode="External"/><Relationship Id="rId61" Type="http://schemas.openxmlformats.org/officeDocument/2006/relationships/hyperlink" Target="http://siepr.stanford.edu/?q=/system/files/shared/pubs/papers/15-001.pdf" TargetMode="External"/><Relationship Id="rId82" Type="http://schemas.openxmlformats.org/officeDocument/2006/relationships/hyperlink" Target="https://dx.doi.org/10.2139/ssrn.3307177"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hyperlink" Target="http://www.cefir.ru/papers/WP_177.pdf"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hyperlink" Target="http://www.cefir.ru/index.php?l=eng&amp;id=35" TargetMode="External"/><Relationship Id="rId93" Type="http://schemas.openxmlformats.org/officeDocument/2006/relationships/hyperlink" Target="https://editorialexpress.com/cgi-bin/conference/download.cgi?db_name=EEAESEM2018&amp;paper_id=849" TargetMode="External"/><Relationship Id="rId98" Type="http://schemas.openxmlformats.org/officeDocument/2006/relationships/hyperlink" Target="https://editorialexpress.com/cgi-bin/conference/download.cgi?db_name=EEAMannheim2015&amp;paper_id=317" TargetMode="Externa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hyperlink" Target="http://www.cefir.ru/papers/WP24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F147-DE99-4240-8165-D03617D6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9975</Words>
  <Characters>56859</Characters>
  <Application>Microsoft Office Word</Application>
  <DocSecurity>0</DocSecurity>
  <Lines>473</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gbesstremyannaya</cp:lastModifiedBy>
  <cp:revision>5</cp:revision>
  <cp:lastPrinted>2022-01-09T16:27:00Z</cp:lastPrinted>
  <dcterms:created xsi:type="dcterms:W3CDTF">2022-02-06T13:32:00Z</dcterms:created>
  <dcterms:modified xsi:type="dcterms:W3CDTF">2022-02-06T14:24:00Z</dcterms:modified>
</cp:coreProperties>
</file>