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6CE2" w14:textId="77777777" w:rsidR="00B113A0" w:rsidRDefault="00B113A0" w:rsidP="00B113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Готовое </w:t>
      </w:r>
      <w:proofErr w:type="gramStart"/>
      <w:r w:rsidRPr="00B113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аналитическое  решение</w:t>
      </w:r>
      <w:proofErr w:type="gramEnd"/>
      <w:r w:rsidRPr="00B113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на базе объяснительного ИИ: аналитика преимуществ и рисков </w:t>
      </w:r>
      <w:r w:rsidRPr="00B113A0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ESG</w:t>
      </w:r>
      <w:r w:rsidRPr="00B113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-политики российских компаний</w:t>
      </w:r>
    </w:p>
    <w:p w14:paraId="6F2BA2C7" w14:textId="77777777" w:rsidR="00B113A0" w:rsidRPr="00B113A0" w:rsidRDefault="00B113A0" w:rsidP="00B113A0">
      <w:pPr>
        <w:shd w:val="clear" w:color="auto" w:fill="FFFFFF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11CE183" w14:textId="77777777" w:rsidR="00B113A0" w:rsidRPr="00B113A0" w:rsidRDefault="00B113A0" w:rsidP="00B113A0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Теплова </w:t>
      </w:r>
      <w:proofErr w:type="gramStart"/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Т.В.</w:t>
      </w:r>
      <w:proofErr w:type="gramEnd"/>
      <w:r w:rsidRPr="00B113A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Соколова Т.В.</w:t>
      </w:r>
      <w:r w:rsidRPr="00B113A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Кисса Д.С.</w:t>
      </w:r>
      <w:r w:rsidRPr="00B113A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Пантелеева И.С.</w:t>
      </w:r>
      <w:r w:rsidRPr="00B113A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Гуров С.В.</w:t>
      </w:r>
      <w:r w:rsidRPr="00B113A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/>
          <w14:ligatures w14:val="none"/>
        </w:rPr>
        <w:t>1</w:t>
      </w:r>
    </w:p>
    <w:p w14:paraId="111697CA" w14:textId="77777777" w:rsidR="000F194E" w:rsidRDefault="000F194E" w:rsidP="00B113A0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C041609" w14:textId="6B11487B" w:rsidR="00B113A0" w:rsidRPr="00B113A0" w:rsidRDefault="00B113A0" w:rsidP="00B113A0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 Центр финансовых исследований и анализа данных, Национальный исследовательский университет «Высшая школа экономики» (НИУ ВШЭ), Москва, Россия.</w:t>
      </w:r>
    </w:p>
    <w:p w14:paraId="13313BA8" w14:textId="77777777" w:rsidR="000F194E" w:rsidRDefault="000F194E" w:rsidP="00B113A0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14:paraId="73CE40FE" w14:textId="6872B25B" w:rsidR="00B113A0" w:rsidRPr="00B113A0" w:rsidRDefault="00B113A0" w:rsidP="00B113A0">
      <w:pPr>
        <w:shd w:val="clear" w:color="auto" w:fill="FFFFFF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Исследование выполнено при поддержке Российского научного фонда (грант </w:t>
      </w:r>
      <w:proofErr w:type="gramStart"/>
      <w:r w:rsidRPr="00B113A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№23-28-00740</w:t>
      </w:r>
      <w:proofErr w:type="gramEnd"/>
      <w:r w:rsidRPr="00B113A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), </w:t>
      </w:r>
      <w:hyperlink r:id="rId4" w:tgtFrame="_blank" w:history="1">
        <w:r w:rsidRPr="00B113A0">
          <w:rPr>
            <w:rFonts w:ascii="Times New Roman" w:eastAsia="Times New Roman" w:hAnsi="Times New Roman" w:cs="Times New Roman"/>
            <w:i/>
            <w:iCs/>
            <w:color w:val="1155CC"/>
            <w:kern w:val="0"/>
            <w:u w:val="single"/>
            <w:lang w:eastAsia="ru-RU"/>
            <w14:ligatures w14:val="none"/>
          </w:rPr>
          <w:t>https://rscf.ru/project/23-28-00740/</w:t>
        </w:r>
      </w:hyperlink>
      <w:r w:rsidRPr="00B113A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</w:t>
      </w:r>
    </w:p>
    <w:p w14:paraId="71CFCF8E" w14:textId="77777777" w:rsidR="00B113A0" w:rsidRDefault="00B113A0" w:rsidP="00B113A0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70B03D96" w14:textId="297E6AB1" w:rsidR="00B113A0" w:rsidRDefault="00B113A0" w:rsidP="00B113A0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Аннотация</w:t>
      </w:r>
    </w:p>
    <w:p w14:paraId="15C9E15D" w14:textId="77777777" w:rsidR="0075338A" w:rsidRPr="00B113A0" w:rsidRDefault="0075338A" w:rsidP="00B113A0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21F5FE85" w14:textId="67684504" w:rsidR="00B113A0" w:rsidRPr="00B113A0" w:rsidRDefault="00B113A0" w:rsidP="0040176C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Нами разработано и запатентовано инновационное аналитическое решение на базе объяснительного ИИ в области финансовой аналитики 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noBreakHyphen/>
        <w:t xml:space="preserve"> Программа построения моделей объяснительного искусственного интеллекта для решения задач финансовой экономики, свидетельство о регистрации Роспатент № 2023668425 от 28.08.2023 г.</w:t>
      </w:r>
      <w:r w:rsidR="000F194E"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Решение позволяет выявлять и ранжировать по важности детерминанты биржевых характеристик акций и облигаций (доходности, риска, ликвидности и пр.), а также детерминанты финансовых показателей эмитентов.</w:t>
      </w:r>
    </w:p>
    <w:p w14:paraId="7531F042" w14:textId="77777777" w:rsidR="00B113A0" w:rsidRPr="00B113A0" w:rsidRDefault="00B113A0" w:rsidP="0040176C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 применением авторского готового аналитического решения мы демонстрируем возможности анализа взаимосвязей отдельных экологических, социальных и управленческих показателей (ESG) российских компаний с метриками риска. В докладе демонстрируется эмпирическая апробация решения при анализе риска снижения цен акций (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downside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риск) на выборке компаний российского рынка. Мы используем методологию, основанную на двухэтапном подходе на базе объяснительного ИИ: 1) нейронные сети с плотными слоями для объяснения показателей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downside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риска с учетом нелинейных эффектов и 2) вектора Шепли из теории игр для интерпретации эмпирических результатов (ранжирования отдельных факторов ESG по силе влияния). Данный методологический подход ранее не применялся для анализа детерминант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downside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риска. Спецификой нашего исследования является ориентация на объяснение влияния широкого спектра экологических факторов под контролем фундаментальных показателей компаний-эмитентов и макроэкономических показателей. Предлагаемое нами решение позволяет отразить вклад различных факторов в складывающийся на рынке показатель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downside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риска (объяснить, за счет каких факторов фиксируется тот или иной уровень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downside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риска по компании). Отличительной чертой предлагаемого решения является возможность оценить не только силу и направление влияния различных факторов по выборке в целом (выявить «</w:t>
      </w:r>
      <w:proofErr w:type="spellStart"/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общерыночные</w:t>
      </w:r>
      <w:proofErr w:type="spellEnd"/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закономерности), но и оценить силу и направление влияния факторов на зависимую переменную (в демонстрационном случае –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downside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риск) для конкретной компании. Это может представлять интерес с точки выработки оптимальных управленческих решений для данной компании.</w:t>
      </w:r>
    </w:p>
    <w:p w14:paraId="17DAF9CF" w14:textId="77777777" w:rsidR="00B113A0" w:rsidRPr="00B113A0" w:rsidRDefault="00B113A0" w:rsidP="0040176C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 пандемии COVID-19 наиболее влиятельным фактором был темп роста ВВП. Экологическая ответственность и интегральный показатель ESG занимали второе и третье места соответственно по силе воздействия. Мы отмечаем, что соблюдение некоторых экологических практик увеличивало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downside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риск. Во время пандемии COVID-19 рейтинг наиболее влиятельных детерминант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downside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риска изменился, и на первое место вышла долговая нагрузка эмитентов. Усилилась роль социальной ответственности и корпоративного управления.</w:t>
      </w:r>
    </w:p>
    <w:p w14:paraId="46AE27FB" w14:textId="77777777" w:rsidR="00B113A0" w:rsidRPr="00B113A0" w:rsidRDefault="00B113A0" w:rsidP="0040176C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Наше аналитическое решение представляет практический интерес для:</w:t>
      </w:r>
    </w:p>
    <w:p w14:paraId="2240A15A" w14:textId="77777777" w:rsidR="00B113A0" w:rsidRPr="00B113A0" w:rsidRDefault="00B113A0" w:rsidP="0040176C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институциональных и частных инвесторов, финансовых аналитиков с точки зрения портфельных построений, понимания вклада различных факторов в складывающийся уровень риска;</w:t>
      </w:r>
    </w:p>
    <w:p w14:paraId="247AB304" w14:textId="77777777" w:rsidR="00B113A0" w:rsidRPr="00B113A0" w:rsidRDefault="00B113A0" w:rsidP="0040176C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- менеджеров и собственников компаний для принятия управленческих решений (в том числе, относительно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ESG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-политики) и анализа последствий принятия таких решений на финансовые показатели компаний и биржевые характеристики ценных бумаг;</w:t>
      </w:r>
    </w:p>
    <w:p w14:paraId="12327892" w14:textId="77777777" w:rsidR="00B113A0" w:rsidRPr="00B113A0" w:rsidRDefault="00B113A0" w:rsidP="0040176C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регулирующих органов для выработки оптимальной политики регулирования по различным отраслям экономики (в том числе, относительно 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ESG</w:t>
      </w: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-повестки), оценки влияния принятых решений на финансовое положение компаний;</w:t>
      </w:r>
    </w:p>
    <w:p w14:paraId="354843E5" w14:textId="77777777" w:rsidR="00B113A0" w:rsidRPr="00B113A0" w:rsidRDefault="00B113A0" w:rsidP="0040176C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113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студентов и аспирантов по направлению «Финансы и кредит» для решения различных исследовательских задач.</w:t>
      </w:r>
    </w:p>
    <w:p w14:paraId="3B238181" w14:textId="77777777" w:rsidR="002C2717" w:rsidRDefault="002C2717" w:rsidP="0040176C">
      <w:pPr>
        <w:jc w:val="both"/>
      </w:pPr>
    </w:p>
    <w:sectPr w:rsidR="002C2717" w:rsidSect="00704E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0"/>
    <w:rsid w:val="000F194E"/>
    <w:rsid w:val="002C2717"/>
    <w:rsid w:val="0040176C"/>
    <w:rsid w:val="00704EC7"/>
    <w:rsid w:val="0075338A"/>
    <w:rsid w:val="00983781"/>
    <w:rsid w:val="00B1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C5911"/>
  <w15:chartTrackingRefBased/>
  <w15:docId w15:val="{88C63F3D-E6D3-AE4A-BCDF-2D39B38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3A0"/>
    <w:rPr>
      <w:color w:val="0000FF"/>
      <w:u w:val="single"/>
    </w:rPr>
  </w:style>
  <w:style w:type="character" w:styleId="a4">
    <w:name w:val="Strong"/>
    <w:basedOn w:val="a0"/>
    <w:uiPriority w:val="22"/>
    <w:qFormat/>
    <w:rsid w:val="00B113A0"/>
    <w:rPr>
      <w:b/>
      <w:bCs/>
    </w:rPr>
  </w:style>
  <w:style w:type="character" w:styleId="a5">
    <w:name w:val="Emphasis"/>
    <w:basedOn w:val="a0"/>
    <w:uiPriority w:val="20"/>
    <w:qFormat/>
    <w:rsid w:val="00B113A0"/>
    <w:rPr>
      <w:i/>
      <w:iCs/>
    </w:rPr>
  </w:style>
  <w:style w:type="character" w:customStyle="1" w:styleId="apple-converted-space">
    <w:name w:val="apple-converted-space"/>
    <w:basedOn w:val="a0"/>
    <w:rsid w:val="00B1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project/23-28-00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2024-04-17T14:09:00Z</dcterms:created>
  <dcterms:modified xsi:type="dcterms:W3CDTF">2024-04-17T14:10:00Z</dcterms:modified>
</cp:coreProperties>
</file>